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26" w:rsidRPr="00C86443" w:rsidRDefault="00321E26" w:rsidP="005458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1E26" w:rsidRPr="00C86443" w:rsidRDefault="00321E26" w:rsidP="005458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1E26" w:rsidRPr="00C86443" w:rsidRDefault="00321E26" w:rsidP="005458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1E26" w:rsidRPr="00C86443" w:rsidRDefault="00070304" w:rsidP="005458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321E26" w:rsidRPr="00C86443" w:rsidRDefault="00321E26" w:rsidP="005458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1E26" w:rsidRPr="00C86443" w:rsidRDefault="00321E26" w:rsidP="005458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1E26" w:rsidRPr="00C86443" w:rsidRDefault="00321E26" w:rsidP="005458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1E26" w:rsidRPr="00C86443" w:rsidRDefault="00321E26" w:rsidP="005458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1E26" w:rsidRPr="00C86443" w:rsidRDefault="00321E26" w:rsidP="005458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1E26" w:rsidRPr="00C86443" w:rsidRDefault="00321E26" w:rsidP="005458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1E26" w:rsidRPr="00C86443" w:rsidRDefault="00321E26" w:rsidP="005458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77AC" w:rsidRPr="00C86443" w:rsidRDefault="001277AC" w:rsidP="005458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77AC" w:rsidRPr="00C86443" w:rsidRDefault="001277AC" w:rsidP="005458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77AC" w:rsidRPr="00C86443" w:rsidRDefault="001277AC" w:rsidP="005458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1E26" w:rsidRPr="00C86443" w:rsidRDefault="00321E26" w:rsidP="005458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1E26" w:rsidRPr="00C86443" w:rsidRDefault="00321E26" w:rsidP="005458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1E26" w:rsidRPr="00C86443" w:rsidRDefault="00321E26" w:rsidP="005458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1E26" w:rsidRPr="00C86443" w:rsidRDefault="00321E26" w:rsidP="0054587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6443">
        <w:rPr>
          <w:rFonts w:ascii="Times New Roman" w:eastAsia="Calibri" w:hAnsi="Times New Roman" w:cs="Times New Roman"/>
          <w:sz w:val="24"/>
          <w:szCs w:val="24"/>
        </w:rPr>
        <w:t>Прогноз</w:t>
      </w:r>
    </w:p>
    <w:p w:rsidR="00321E26" w:rsidRPr="00C86443" w:rsidRDefault="00321E26" w:rsidP="0054587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C86443">
        <w:rPr>
          <w:rFonts w:ascii="Times New Roman" w:eastAsia="Calibri" w:hAnsi="Times New Roman" w:cs="Times New Roman"/>
          <w:bCs/>
          <w:sz w:val="24"/>
          <w:szCs w:val="24"/>
        </w:rPr>
        <w:t>социально-экономического развития</w:t>
      </w:r>
      <w:proofErr w:type="gramEnd"/>
    </w:p>
    <w:p w:rsidR="00321E26" w:rsidRPr="00C86443" w:rsidRDefault="00321E26" w:rsidP="0054587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C86443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муниципального района Белебеевский район Республики Башкортостан </w:t>
      </w:r>
      <w:proofErr w:type="gramEnd"/>
    </w:p>
    <w:p w:rsidR="00321E26" w:rsidRPr="00C86443" w:rsidRDefault="00321E26" w:rsidP="0054587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86443">
        <w:rPr>
          <w:rFonts w:ascii="Times New Roman" w:eastAsia="Calibri" w:hAnsi="Times New Roman" w:cs="Times New Roman"/>
          <w:bCs/>
          <w:sz w:val="24"/>
          <w:szCs w:val="24"/>
        </w:rPr>
        <w:t>на 202</w:t>
      </w:r>
      <w:r w:rsidR="00F9325C" w:rsidRPr="00C86443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C86443">
        <w:rPr>
          <w:rFonts w:ascii="Times New Roman" w:eastAsia="Calibri" w:hAnsi="Times New Roman" w:cs="Times New Roman"/>
          <w:bCs/>
          <w:sz w:val="24"/>
          <w:szCs w:val="24"/>
        </w:rPr>
        <w:t xml:space="preserve"> год и на плановый период 202</w:t>
      </w:r>
      <w:r w:rsidR="00F9325C" w:rsidRPr="00C86443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C86443">
        <w:rPr>
          <w:rFonts w:ascii="Times New Roman" w:eastAsia="Calibri" w:hAnsi="Times New Roman" w:cs="Times New Roman"/>
          <w:bCs/>
          <w:sz w:val="24"/>
          <w:szCs w:val="24"/>
        </w:rPr>
        <w:t xml:space="preserve"> и 202</w:t>
      </w:r>
      <w:r w:rsidR="00F9325C" w:rsidRPr="00C86443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C86443">
        <w:rPr>
          <w:rFonts w:ascii="Times New Roman" w:eastAsia="Calibri" w:hAnsi="Times New Roman" w:cs="Times New Roman"/>
          <w:bCs/>
          <w:sz w:val="24"/>
          <w:szCs w:val="24"/>
        </w:rPr>
        <w:t xml:space="preserve"> годов</w:t>
      </w:r>
    </w:p>
    <w:p w:rsidR="00321E26" w:rsidRPr="00C86443" w:rsidRDefault="00321E26" w:rsidP="0054587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21E26" w:rsidRPr="00C86443" w:rsidRDefault="00321E26" w:rsidP="0054587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21E26" w:rsidRPr="00C86443" w:rsidRDefault="00321E26" w:rsidP="0054587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21E26" w:rsidRPr="00C86443" w:rsidRDefault="00321E26" w:rsidP="0054587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21E26" w:rsidRPr="00C86443" w:rsidRDefault="00321E26" w:rsidP="0054587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21E26" w:rsidRPr="00C86443" w:rsidRDefault="00321E26" w:rsidP="0054587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21E26" w:rsidRPr="00C86443" w:rsidRDefault="00321E26" w:rsidP="0054587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21E26" w:rsidRPr="00C86443" w:rsidRDefault="00321E26" w:rsidP="0054587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21E26" w:rsidRPr="00C86443" w:rsidRDefault="00321E26" w:rsidP="0054587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21E26" w:rsidRPr="00C86443" w:rsidRDefault="00321E26" w:rsidP="0054587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21E26" w:rsidRPr="00C86443" w:rsidRDefault="00321E26" w:rsidP="0054587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21E26" w:rsidRPr="00C86443" w:rsidRDefault="00321E26" w:rsidP="0054587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21E26" w:rsidRPr="00C86443" w:rsidRDefault="00321E26" w:rsidP="0054587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21E26" w:rsidRPr="00C86443" w:rsidRDefault="00321E26" w:rsidP="0054587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21E26" w:rsidRPr="00C86443" w:rsidRDefault="00321E26" w:rsidP="0054587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21E26" w:rsidRPr="00C86443" w:rsidRDefault="00321E26" w:rsidP="0054587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21E26" w:rsidRPr="00C86443" w:rsidRDefault="00321E26" w:rsidP="0054587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21E26" w:rsidRPr="00C86443" w:rsidRDefault="00321E26" w:rsidP="0054587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809AA" w:rsidRPr="00C86443" w:rsidRDefault="006809AA" w:rsidP="0054587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809AA" w:rsidRPr="00C86443" w:rsidRDefault="006809AA" w:rsidP="0054587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809AA" w:rsidRPr="00C86443" w:rsidRDefault="006809AA" w:rsidP="0054587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809AA" w:rsidRPr="00C86443" w:rsidRDefault="006809AA" w:rsidP="0054587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809AA" w:rsidRPr="00C86443" w:rsidRDefault="006809AA" w:rsidP="0054587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809AA" w:rsidRPr="00C86443" w:rsidRDefault="006809AA" w:rsidP="0054587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809AA" w:rsidRPr="00C86443" w:rsidRDefault="006809AA" w:rsidP="0054587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21E26" w:rsidRPr="00C86443" w:rsidRDefault="00321E26" w:rsidP="0054587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21E26" w:rsidRPr="00C86443" w:rsidRDefault="00321E26" w:rsidP="0054587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45875" w:rsidRPr="00C86443" w:rsidRDefault="00545875" w:rsidP="0054587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45875" w:rsidRPr="00C86443" w:rsidRDefault="00545875" w:rsidP="0054587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45875" w:rsidRPr="00C86443" w:rsidRDefault="00545875" w:rsidP="0054587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45875" w:rsidRPr="00C86443" w:rsidRDefault="00545875" w:rsidP="0054587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E2495" w:rsidRPr="00C86443" w:rsidRDefault="00DE2495" w:rsidP="00545875">
      <w:pPr>
        <w:keepNext/>
        <w:spacing w:after="0" w:line="240" w:lineRule="auto"/>
        <w:ind w:firstLine="709"/>
        <w:jc w:val="center"/>
        <w:outlineLvl w:val="6"/>
        <w:rPr>
          <w:rFonts w:ascii="Times New Roman" w:hAnsi="Times New Roman" w:cs="Times New Roman"/>
          <w:bCs/>
          <w:sz w:val="24"/>
          <w:szCs w:val="24"/>
        </w:rPr>
      </w:pPr>
      <w:r w:rsidRPr="00C86443">
        <w:rPr>
          <w:rFonts w:ascii="Times New Roman" w:hAnsi="Times New Roman" w:cs="Times New Roman"/>
          <w:bCs/>
          <w:sz w:val="24"/>
          <w:szCs w:val="24"/>
        </w:rPr>
        <w:lastRenderedPageBreak/>
        <w:t>Введение</w:t>
      </w:r>
    </w:p>
    <w:p w:rsidR="00F6683F" w:rsidRPr="00C86443" w:rsidRDefault="00F6683F" w:rsidP="00545875">
      <w:pPr>
        <w:keepNext/>
        <w:spacing w:after="0" w:line="240" w:lineRule="auto"/>
        <w:ind w:firstLine="709"/>
        <w:jc w:val="both"/>
        <w:outlineLvl w:val="6"/>
        <w:rPr>
          <w:rFonts w:ascii="Times New Roman" w:hAnsi="Times New Roman" w:cs="Times New Roman"/>
          <w:bCs/>
          <w:sz w:val="24"/>
          <w:szCs w:val="24"/>
        </w:rPr>
      </w:pPr>
    </w:p>
    <w:p w:rsidR="00DE2495" w:rsidRPr="00C86443" w:rsidRDefault="00DE2495" w:rsidP="005458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6443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r w:rsidR="00B00B00" w:rsidRPr="00C86443">
        <w:rPr>
          <w:rFonts w:ascii="Times New Roman" w:hAnsi="Times New Roman" w:cs="Times New Roman"/>
          <w:sz w:val="24"/>
          <w:szCs w:val="24"/>
        </w:rPr>
        <w:t xml:space="preserve">муниципального района Белебеевский район </w:t>
      </w:r>
      <w:r w:rsidRPr="00C86443">
        <w:rPr>
          <w:rFonts w:ascii="Times New Roman" w:hAnsi="Times New Roman" w:cs="Times New Roman"/>
          <w:sz w:val="24"/>
          <w:szCs w:val="24"/>
        </w:rPr>
        <w:t>Республики Башкортостан на 202</w:t>
      </w:r>
      <w:r w:rsidR="00220869" w:rsidRPr="00C86443">
        <w:rPr>
          <w:rFonts w:ascii="Times New Roman" w:hAnsi="Times New Roman" w:cs="Times New Roman"/>
          <w:sz w:val="24"/>
          <w:szCs w:val="24"/>
        </w:rPr>
        <w:t>4</w:t>
      </w:r>
      <w:r w:rsidRPr="00C86443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220869" w:rsidRPr="00C86443">
        <w:rPr>
          <w:rFonts w:ascii="Times New Roman" w:hAnsi="Times New Roman" w:cs="Times New Roman"/>
          <w:sz w:val="24"/>
          <w:szCs w:val="24"/>
        </w:rPr>
        <w:t>5</w:t>
      </w:r>
      <w:r w:rsidRPr="00C86443">
        <w:rPr>
          <w:rFonts w:ascii="Times New Roman" w:hAnsi="Times New Roman" w:cs="Times New Roman"/>
          <w:sz w:val="24"/>
          <w:szCs w:val="24"/>
        </w:rPr>
        <w:t xml:space="preserve"> и 202</w:t>
      </w:r>
      <w:r w:rsidR="00220869" w:rsidRPr="00C86443">
        <w:rPr>
          <w:rFonts w:ascii="Times New Roman" w:hAnsi="Times New Roman" w:cs="Times New Roman"/>
          <w:sz w:val="24"/>
          <w:szCs w:val="24"/>
        </w:rPr>
        <w:t>6</w:t>
      </w:r>
      <w:r w:rsidRPr="00C86443">
        <w:rPr>
          <w:rFonts w:ascii="Times New Roman" w:hAnsi="Times New Roman" w:cs="Times New Roman"/>
          <w:sz w:val="24"/>
          <w:szCs w:val="24"/>
        </w:rPr>
        <w:t xml:space="preserve"> год</w:t>
      </w:r>
      <w:r w:rsidR="00B00B00" w:rsidRPr="00C86443">
        <w:rPr>
          <w:rFonts w:ascii="Times New Roman" w:hAnsi="Times New Roman" w:cs="Times New Roman"/>
          <w:sz w:val="24"/>
          <w:szCs w:val="24"/>
        </w:rPr>
        <w:t xml:space="preserve">ы </w:t>
      </w:r>
      <w:r w:rsidRPr="00C86443">
        <w:rPr>
          <w:rFonts w:ascii="Times New Roman" w:hAnsi="Times New Roman" w:cs="Times New Roman"/>
          <w:sz w:val="24"/>
          <w:szCs w:val="24"/>
        </w:rPr>
        <w:t>(далее – прогноз социально-экономического развития) подготовлен в соответствии с</w:t>
      </w:r>
      <w:r w:rsidR="00AF1AF5" w:rsidRPr="00C86443">
        <w:rPr>
          <w:rFonts w:ascii="Times New Roman" w:hAnsi="Times New Roman" w:cs="Times New Roman"/>
          <w:sz w:val="24"/>
          <w:szCs w:val="24"/>
        </w:rPr>
        <w:t xml:space="preserve"> Федеральным законом  «О стратегическом планировании в </w:t>
      </w:r>
      <w:r w:rsidR="00220869" w:rsidRPr="00C86443">
        <w:rPr>
          <w:rFonts w:ascii="Times New Roman" w:hAnsi="Times New Roman" w:cs="Times New Roman"/>
          <w:sz w:val="24"/>
          <w:szCs w:val="24"/>
        </w:rPr>
        <w:t>Р</w:t>
      </w:r>
      <w:r w:rsidR="00AF1AF5" w:rsidRPr="00C86443">
        <w:rPr>
          <w:rFonts w:ascii="Times New Roman" w:hAnsi="Times New Roman" w:cs="Times New Roman"/>
          <w:sz w:val="24"/>
          <w:szCs w:val="24"/>
        </w:rPr>
        <w:t xml:space="preserve">оссийской Федерации», </w:t>
      </w:r>
      <w:r w:rsidRPr="00C86443">
        <w:rPr>
          <w:rFonts w:ascii="Times New Roman" w:hAnsi="Times New Roman" w:cs="Times New Roman"/>
          <w:sz w:val="24"/>
          <w:szCs w:val="24"/>
        </w:rPr>
        <w:t>законами Республики Башкортостан «О стратегическом планировании в Республике Башкортостан», «О бюджетном процессе в Республике Башкортостан»</w:t>
      </w:r>
      <w:r w:rsidR="00220869" w:rsidRPr="00C86443">
        <w:rPr>
          <w:rFonts w:ascii="Times New Roman" w:hAnsi="Times New Roman" w:cs="Times New Roman"/>
          <w:sz w:val="24"/>
          <w:szCs w:val="24"/>
        </w:rPr>
        <w:t>,</w:t>
      </w:r>
      <w:r w:rsidRPr="00C86443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Рес</w:t>
      </w:r>
      <w:r w:rsidR="00AF1AF5" w:rsidRPr="00C86443">
        <w:rPr>
          <w:rFonts w:ascii="Times New Roman" w:hAnsi="Times New Roman" w:cs="Times New Roman"/>
          <w:sz w:val="24"/>
          <w:szCs w:val="24"/>
        </w:rPr>
        <w:t xml:space="preserve">публики Башкортостан от 30 июля </w:t>
      </w:r>
      <w:r w:rsidRPr="00C86443">
        <w:rPr>
          <w:rFonts w:ascii="Times New Roman" w:hAnsi="Times New Roman" w:cs="Times New Roman"/>
          <w:sz w:val="24"/>
          <w:szCs w:val="24"/>
        </w:rPr>
        <w:t>2019 года</w:t>
      </w:r>
      <w:proofErr w:type="gramEnd"/>
      <w:r w:rsidRPr="00C86443">
        <w:rPr>
          <w:rFonts w:ascii="Times New Roman" w:hAnsi="Times New Roman" w:cs="Times New Roman"/>
          <w:sz w:val="24"/>
          <w:szCs w:val="24"/>
        </w:rPr>
        <w:t xml:space="preserve"> №</w:t>
      </w:r>
      <w:r w:rsidRPr="00C86443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Pr="00C86443">
        <w:rPr>
          <w:rFonts w:ascii="Times New Roman" w:hAnsi="Times New Roman" w:cs="Times New Roman"/>
          <w:sz w:val="24"/>
          <w:szCs w:val="24"/>
        </w:rPr>
        <w:t>454 «О порядке разработки и корректировки прогнозов социально-экономического развития Республики Башкортостан на среднесрочный и долгосрочный периоды»</w:t>
      </w:r>
      <w:r w:rsidR="00AF1AF5" w:rsidRPr="00C86443">
        <w:rPr>
          <w:rFonts w:ascii="Times New Roman" w:hAnsi="Times New Roman" w:cs="Times New Roman"/>
          <w:sz w:val="24"/>
          <w:szCs w:val="24"/>
        </w:rPr>
        <w:t>, постановлением Администрации муниципального района Белебеевский район Республики Башкортостан от 31 июля 2015 года  № 1579  «Об утверждении  порядка разработки, корректировки, осуществления мониторинга и контроля  реализации прогнозов социально-экономического развития муниципального района Белебеевский район Республики Башкортостан на долгосрочный и среднесрочный период</w:t>
      </w:r>
      <w:r w:rsidR="00BD4B1D" w:rsidRPr="00C86443">
        <w:rPr>
          <w:rFonts w:ascii="Times New Roman" w:hAnsi="Times New Roman" w:cs="Times New Roman"/>
          <w:sz w:val="24"/>
          <w:szCs w:val="24"/>
        </w:rPr>
        <w:t>»</w:t>
      </w:r>
      <w:r w:rsidRPr="00C8644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E2495" w:rsidRPr="00C86443" w:rsidRDefault="00DE2495" w:rsidP="005458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6443">
        <w:rPr>
          <w:rFonts w:ascii="Times New Roman" w:hAnsi="Times New Roman" w:cs="Times New Roman"/>
          <w:sz w:val="24"/>
          <w:szCs w:val="24"/>
        </w:rPr>
        <w:t xml:space="preserve">Разработка прогноза социально-экономического развития осуществлялась исходя из ориентиров и приоритетов, обозначенных в </w:t>
      </w:r>
      <w:r w:rsidR="0008626A" w:rsidRPr="00C86443">
        <w:rPr>
          <w:rFonts w:ascii="Times New Roman" w:hAnsi="Times New Roman" w:cs="Times New Roman"/>
          <w:sz w:val="24"/>
          <w:szCs w:val="24"/>
        </w:rPr>
        <w:t>Указах Президента Российской Федерации от 07 мая 2018 года № 204 «О национальных целях развития Росси</w:t>
      </w:r>
      <w:r w:rsidR="00904033" w:rsidRPr="00C86443">
        <w:rPr>
          <w:rFonts w:ascii="Times New Roman" w:hAnsi="Times New Roman" w:cs="Times New Roman"/>
          <w:sz w:val="24"/>
          <w:szCs w:val="24"/>
        </w:rPr>
        <w:t>йской Федерации на период до 20</w:t>
      </w:r>
      <w:r w:rsidR="0008626A" w:rsidRPr="00C86443">
        <w:rPr>
          <w:rFonts w:ascii="Times New Roman" w:hAnsi="Times New Roman" w:cs="Times New Roman"/>
          <w:sz w:val="24"/>
          <w:szCs w:val="24"/>
        </w:rPr>
        <w:t>24 года»,</w:t>
      </w:r>
      <w:r w:rsidRPr="00C86443">
        <w:rPr>
          <w:rFonts w:ascii="Times New Roman" w:hAnsi="Times New Roman" w:cs="Times New Roman"/>
          <w:sz w:val="24"/>
          <w:szCs w:val="24"/>
        </w:rPr>
        <w:t xml:space="preserve"> от 21 июля 2020 года</w:t>
      </w:r>
      <w:r w:rsidR="0008626A" w:rsidRPr="00C86443">
        <w:rPr>
          <w:rFonts w:ascii="Times New Roman" w:hAnsi="Times New Roman" w:cs="Times New Roman"/>
          <w:sz w:val="24"/>
          <w:szCs w:val="24"/>
        </w:rPr>
        <w:t xml:space="preserve"> № 474</w:t>
      </w:r>
      <w:r w:rsidRPr="00C86443">
        <w:rPr>
          <w:rFonts w:ascii="Times New Roman" w:hAnsi="Times New Roman" w:cs="Times New Roman"/>
          <w:sz w:val="24"/>
          <w:szCs w:val="24"/>
        </w:rPr>
        <w:t xml:space="preserve"> «О национальных целях развития Российской Федерации на период до 2030 года</w:t>
      </w:r>
      <w:r w:rsidR="0008626A" w:rsidRPr="00C86443">
        <w:rPr>
          <w:rFonts w:ascii="Times New Roman" w:hAnsi="Times New Roman" w:cs="Times New Roman"/>
          <w:sz w:val="24"/>
          <w:szCs w:val="24"/>
        </w:rPr>
        <w:t xml:space="preserve">», </w:t>
      </w:r>
      <w:r w:rsidRPr="00C86443">
        <w:rPr>
          <w:rFonts w:ascii="Times New Roman" w:hAnsi="Times New Roman" w:cs="Times New Roman"/>
          <w:sz w:val="24"/>
          <w:szCs w:val="24"/>
        </w:rPr>
        <w:t>Стратегии социально-экономического развития Республики Башкортостан на период до 2030 года</w:t>
      </w:r>
      <w:proofErr w:type="gramEnd"/>
      <w:r w:rsidRPr="00C86443">
        <w:rPr>
          <w:rFonts w:ascii="Times New Roman" w:hAnsi="Times New Roman" w:cs="Times New Roman"/>
          <w:sz w:val="24"/>
          <w:szCs w:val="24"/>
        </w:rPr>
        <w:t>,</w:t>
      </w:r>
      <w:r w:rsidR="00BD4B1D" w:rsidRPr="00C864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26AE" w:rsidRPr="00C86443">
        <w:rPr>
          <w:rFonts w:ascii="Times New Roman" w:hAnsi="Times New Roman" w:cs="Times New Roman"/>
          <w:sz w:val="24"/>
          <w:szCs w:val="24"/>
        </w:rPr>
        <w:t>С</w:t>
      </w:r>
      <w:r w:rsidR="00BD4B1D" w:rsidRPr="00C86443">
        <w:rPr>
          <w:rFonts w:ascii="Times New Roman" w:hAnsi="Times New Roman" w:cs="Times New Roman"/>
          <w:sz w:val="24"/>
          <w:szCs w:val="24"/>
        </w:rPr>
        <w:t>тратегии социально-экономического развития муниципального района Белебеевский район Республики Башкортостан до 2030 года,</w:t>
      </w:r>
      <w:r w:rsidRPr="00C86443">
        <w:rPr>
          <w:rFonts w:ascii="Times New Roman" w:hAnsi="Times New Roman" w:cs="Times New Roman"/>
          <w:sz w:val="24"/>
          <w:szCs w:val="24"/>
        </w:rPr>
        <w:t xml:space="preserve"> государственных</w:t>
      </w:r>
      <w:r w:rsidR="008626AE" w:rsidRPr="00C86443">
        <w:rPr>
          <w:rFonts w:ascii="Times New Roman" w:hAnsi="Times New Roman" w:cs="Times New Roman"/>
          <w:sz w:val="24"/>
          <w:szCs w:val="24"/>
        </w:rPr>
        <w:t>, муниципальных</w:t>
      </w:r>
      <w:r w:rsidRPr="00C86443">
        <w:rPr>
          <w:rFonts w:ascii="Times New Roman" w:hAnsi="Times New Roman" w:cs="Times New Roman"/>
          <w:sz w:val="24"/>
          <w:szCs w:val="24"/>
        </w:rPr>
        <w:t xml:space="preserve"> программах и иных программных документах по развитию отдельных видов экономической деятельности и социальной сферы, национальных целей развития, поставленных Президентом Российской Федерации и Главой Республики Башкортостан</w:t>
      </w:r>
      <w:r w:rsidR="00BD4B1D" w:rsidRPr="00C86443">
        <w:rPr>
          <w:rFonts w:ascii="Times New Roman" w:hAnsi="Times New Roman" w:cs="Times New Roman"/>
          <w:sz w:val="24"/>
          <w:szCs w:val="24"/>
        </w:rPr>
        <w:t xml:space="preserve">, с учетом комплекса мер, направленных на обеспечение устойчивого развития экономики </w:t>
      </w:r>
      <w:r w:rsidR="0008626A" w:rsidRPr="00C86443">
        <w:rPr>
          <w:rFonts w:ascii="Times New Roman" w:hAnsi="Times New Roman" w:cs="Times New Roman"/>
          <w:sz w:val="24"/>
          <w:szCs w:val="24"/>
        </w:rPr>
        <w:t xml:space="preserve">в условиях </w:t>
      </w:r>
      <w:r w:rsidR="00BD4B1D" w:rsidRPr="00C86443">
        <w:rPr>
          <w:rFonts w:ascii="Times New Roman" w:hAnsi="Times New Roman" w:cs="Times New Roman"/>
          <w:sz w:val="24"/>
          <w:szCs w:val="24"/>
        </w:rPr>
        <w:t xml:space="preserve">внешних факторов.  </w:t>
      </w:r>
      <w:proofErr w:type="gramEnd"/>
    </w:p>
    <w:p w:rsidR="00DE2495" w:rsidRPr="00C86443" w:rsidRDefault="00DE2495" w:rsidP="005458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6443">
        <w:rPr>
          <w:rFonts w:ascii="Times New Roman" w:hAnsi="Times New Roman" w:cs="Times New Roman"/>
          <w:sz w:val="24"/>
          <w:szCs w:val="24"/>
        </w:rPr>
        <w:t>При разработке прогноза социально-экономического развития использованы сценарные усл</w:t>
      </w:r>
      <w:r w:rsidR="00AF1AF5" w:rsidRPr="00C86443">
        <w:rPr>
          <w:rFonts w:ascii="Times New Roman" w:hAnsi="Times New Roman" w:cs="Times New Roman"/>
          <w:sz w:val="24"/>
          <w:szCs w:val="24"/>
        </w:rPr>
        <w:t xml:space="preserve">овия функционирования экономики </w:t>
      </w:r>
      <w:r w:rsidRPr="00C86443">
        <w:rPr>
          <w:rFonts w:ascii="Times New Roman" w:hAnsi="Times New Roman" w:cs="Times New Roman"/>
          <w:sz w:val="24"/>
          <w:szCs w:val="24"/>
        </w:rPr>
        <w:t xml:space="preserve">на предстоящий период, одобренные Правительством Российской Федерации, учтены потенциал и тенденции социально-экономического развития </w:t>
      </w:r>
      <w:r w:rsidR="00AF1AF5" w:rsidRPr="00C86443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BD4B1D" w:rsidRPr="00C86443">
        <w:rPr>
          <w:rFonts w:ascii="Times New Roman" w:hAnsi="Times New Roman" w:cs="Times New Roman"/>
          <w:sz w:val="24"/>
          <w:szCs w:val="24"/>
        </w:rPr>
        <w:t xml:space="preserve"> Белебеевский район Республики Башкортостан</w:t>
      </w:r>
      <w:r w:rsidRPr="00C86443">
        <w:rPr>
          <w:rFonts w:ascii="Times New Roman" w:hAnsi="Times New Roman" w:cs="Times New Roman"/>
          <w:sz w:val="24"/>
          <w:szCs w:val="24"/>
        </w:rPr>
        <w:t xml:space="preserve">, прогнозные данные предприятий и организаций </w:t>
      </w:r>
      <w:r w:rsidR="00AF1AF5" w:rsidRPr="00C86443">
        <w:rPr>
          <w:rFonts w:ascii="Times New Roman" w:hAnsi="Times New Roman" w:cs="Times New Roman"/>
          <w:sz w:val="24"/>
          <w:szCs w:val="24"/>
        </w:rPr>
        <w:t>района</w:t>
      </w:r>
      <w:r w:rsidR="00BD4B1D" w:rsidRPr="00C8644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D4B1D" w:rsidRPr="00C86443" w:rsidRDefault="00BD4B1D" w:rsidP="005458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443">
        <w:rPr>
          <w:rFonts w:ascii="Times New Roman" w:hAnsi="Times New Roman" w:cs="Times New Roman"/>
          <w:sz w:val="24"/>
          <w:szCs w:val="24"/>
        </w:rPr>
        <w:t xml:space="preserve">Прогноз </w:t>
      </w:r>
      <w:proofErr w:type="gramStart"/>
      <w:r w:rsidRPr="00C86443">
        <w:rPr>
          <w:rFonts w:ascii="Times New Roman" w:hAnsi="Times New Roman" w:cs="Times New Roman"/>
          <w:sz w:val="24"/>
          <w:szCs w:val="24"/>
        </w:rPr>
        <w:t>социально-экономического</w:t>
      </w:r>
      <w:proofErr w:type="gramEnd"/>
      <w:r w:rsidRPr="00C86443">
        <w:rPr>
          <w:rFonts w:ascii="Times New Roman" w:hAnsi="Times New Roman" w:cs="Times New Roman"/>
          <w:sz w:val="24"/>
          <w:szCs w:val="24"/>
        </w:rPr>
        <w:t xml:space="preserve"> развития разработан в </w:t>
      </w:r>
      <w:r w:rsidR="008626AE" w:rsidRPr="00C86443">
        <w:rPr>
          <w:rFonts w:ascii="Times New Roman" w:hAnsi="Times New Roman" w:cs="Times New Roman"/>
          <w:sz w:val="24"/>
          <w:szCs w:val="24"/>
        </w:rPr>
        <w:t xml:space="preserve">двух вариантах: консервативный и </w:t>
      </w:r>
      <w:r w:rsidRPr="00C86443">
        <w:rPr>
          <w:rFonts w:ascii="Times New Roman" w:hAnsi="Times New Roman" w:cs="Times New Roman"/>
          <w:sz w:val="24"/>
          <w:szCs w:val="24"/>
        </w:rPr>
        <w:t>базовый</w:t>
      </w:r>
      <w:r w:rsidR="008626AE" w:rsidRPr="00C86443">
        <w:rPr>
          <w:rFonts w:ascii="Times New Roman" w:hAnsi="Times New Roman" w:cs="Times New Roman"/>
          <w:sz w:val="24"/>
          <w:szCs w:val="24"/>
        </w:rPr>
        <w:t>.</w:t>
      </w:r>
      <w:r w:rsidRPr="00C86443">
        <w:rPr>
          <w:rFonts w:ascii="Times New Roman" w:hAnsi="Times New Roman" w:cs="Times New Roman"/>
          <w:sz w:val="24"/>
          <w:szCs w:val="24"/>
        </w:rPr>
        <w:t xml:space="preserve"> Базовый вариант описывает наиболее вероятный </w:t>
      </w:r>
      <w:r w:rsidR="00FA40F5" w:rsidRPr="00C86443">
        <w:rPr>
          <w:rFonts w:ascii="Times New Roman" w:hAnsi="Times New Roman" w:cs="Times New Roman"/>
          <w:sz w:val="24"/>
          <w:szCs w:val="24"/>
        </w:rPr>
        <w:t>сценарий развития</w:t>
      </w:r>
      <w:r w:rsidRPr="00C86443">
        <w:rPr>
          <w:rFonts w:ascii="Times New Roman" w:hAnsi="Times New Roman" w:cs="Times New Roman"/>
          <w:sz w:val="24"/>
          <w:szCs w:val="24"/>
        </w:rPr>
        <w:t xml:space="preserve"> российской экономики с учетом ожидаемых внешних условий и принимаемых </w:t>
      </w:r>
      <w:r w:rsidR="00807B7E" w:rsidRPr="00C86443">
        <w:rPr>
          <w:rFonts w:ascii="Times New Roman" w:hAnsi="Times New Roman" w:cs="Times New Roman"/>
          <w:sz w:val="24"/>
          <w:szCs w:val="24"/>
        </w:rPr>
        <w:t>мер экономической политики</w:t>
      </w:r>
      <w:r w:rsidR="0008626A" w:rsidRPr="00C86443">
        <w:rPr>
          <w:rFonts w:ascii="Times New Roman" w:hAnsi="Times New Roman" w:cs="Times New Roman"/>
          <w:sz w:val="24"/>
          <w:szCs w:val="24"/>
        </w:rPr>
        <w:t xml:space="preserve">, включая реализацию Общенационального плана действий, обеспечивающих восстановление занятости и доходов населения, рост экономики и </w:t>
      </w:r>
      <w:proofErr w:type="gramStart"/>
      <w:r w:rsidR="0008626A" w:rsidRPr="00C86443">
        <w:rPr>
          <w:rFonts w:ascii="Times New Roman" w:hAnsi="Times New Roman" w:cs="Times New Roman"/>
          <w:sz w:val="24"/>
          <w:szCs w:val="24"/>
        </w:rPr>
        <w:t>долгосрочные структурные</w:t>
      </w:r>
      <w:proofErr w:type="gramEnd"/>
      <w:r w:rsidR="0008626A" w:rsidRPr="00C86443">
        <w:rPr>
          <w:rFonts w:ascii="Times New Roman" w:hAnsi="Times New Roman" w:cs="Times New Roman"/>
          <w:sz w:val="24"/>
          <w:szCs w:val="24"/>
        </w:rPr>
        <w:t xml:space="preserve"> изменения в экономике. </w:t>
      </w:r>
    </w:p>
    <w:p w:rsidR="0011110F" w:rsidRPr="00C86443" w:rsidRDefault="0011110F" w:rsidP="00545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В базовый вариант заложена </w:t>
      </w:r>
      <w:proofErr w:type="spellStart"/>
      <w:r w:rsidRPr="00C86443">
        <w:rPr>
          <w:rFonts w:ascii="Times New Roman" w:eastAsia="Times New Roman" w:hAnsi="Times New Roman" w:cs="Times New Roman"/>
          <w:sz w:val="24"/>
          <w:szCs w:val="24"/>
        </w:rPr>
        <w:t>проактивная</w:t>
      </w:r>
      <w:proofErr w:type="spellEnd"/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 экономическая политика. В частности, предполагается: </w:t>
      </w:r>
    </w:p>
    <w:p w:rsidR="0011110F" w:rsidRPr="00C86443" w:rsidRDefault="0011110F" w:rsidP="00545875">
      <w:pPr>
        <w:pStyle w:val="a6"/>
        <w:numPr>
          <w:ilvl w:val="0"/>
          <w:numId w:val="3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86443">
        <w:rPr>
          <w:rFonts w:ascii="Times New Roman" w:eastAsia="Times New Roman" w:hAnsi="Times New Roman"/>
          <w:sz w:val="24"/>
          <w:szCs w:val="24"/>
        </w:rPr>
        <w:t>эффективная реализация всего комплекса мер по поддержке экономики, включая программы льготного кредитования;</w:t>
      </w:r>
    </w:p>
    <w:p w:rsidR="0011110F" w:rsidRPr="00C86443" w:rsidRDefault="0011110F" w:rsidP="00545875">
      <w:pPr>
        <w:pStyle w:val="a6"/>
        <w:numPr>
          <w:ilvl w:val="0"/>
          <w:numId w:val="3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86443">
        <w:rPr>
          <w:rFonts w:ascii="Times New Roman" w:eastAsia="Times New Roman" w:hAnsi="Times New Roman"/>
          <w:sz w:val="24"/>
          <w:szCs w:val="24"/>
        </w:rPr>
        <w:t>активное снижение ключевой ставки Банком России вслед за инфляцией;</w:t>
      </w:r>
    </w:p>
    <w:p w:rsidR="0011110F" w:rsidRPr="00C86443" w:rsidRDefault="0011110F" w:rsidP="00545875">
      <w:pPr>
        <w:pStyle w:val="a6"/>
        <w:numPr>
          <w:ilvl w:val="0"/>
          <w:numId w:val="3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86443">
        <w:rPr>
          <w:rFonts w:ascii="Times New Roman" w:eastAsia="Times New Roman" w:hAnsi="Times New Roman"/>
          <w:sz w:val="24"/>
          <w:szCs w:val="24"/>
        </w:rPr>
        <w:t>достаточный для поддержания внутреннего спроса уровень бюджетных расходов.</w:t>
      </w:r>
    </w:p>
    <w:p w:rsidR="0011110F" w:rsidRPr="00C86443" w:rsidRDefault="0011110F" w:rsidP="005458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443">
        <w:rPr>
          <w:rFonts w:ascii="Times New Roman" w:hAnsi="Times New Roman" w:cs="Times New Roman"/>
          <w:sz w:val="24"/>
          <w:szCs w:val="24"/>
        </w:rPr>
        <w:t xml:space="preserve">Консервативный вариант рассчитан с учетом сдержанной динамики социально-экономического </w:t>
      </w:r>
      <w:r w:rsidR="00FA40F5" w:rsidRPr="00C86443">
        <w:rPr>
          <w:rFonts w:ascii="Times New Roman" w:hAnsi="Times New Roman" w:cs="Times New Roman"/>
          <w:sz w:val="24"/>
          <w:szCs w:val="24"/>
        </w:rPr>
        <w:t>развития относительно</w:t>
      </w:r>
      <w:r w:rsidRPr="00C86443">
        <w:rPr>
          <w:rFonts w:ascii="Times New Roman" w:hAnsi="Times New Roman" w:cs="Times New Roman"/>
          <w:sz w:val="24"/>
          <w:szCs w:val="24"/>
        </w:rPr>
        <w:t xml:space="preserve"> базового варианта прогноза, высокой </w:t>
      </w:r>
      <w:proofErr w:type="spellStart"/>
      <w:r w:rsidRPr="00C86443">
        <w:rPr>
          <w:rFonts w:ascii="Times New Roman" w:hAnsi="Times New Roman" w:cs="Times New Roman"/>
          <w:sz w:val="24"/>
          <w:szCs w:val="24"/>
        </w:rPr>
        <w:t>волатильности</w:t>
      </w:r>
      <w:proofErr w:type="spellEnd"/>
      <w:r w:rsidRPr="00C86443">
        <w:rPr>
          <w:rFonts w:ascii="Times New Roman" w:hAnsi="Times New Roman" w:cs="Times New Roman"/>
          <w:sz w:val="24"/>
          <w:szCs w:val="24"/>
        </w:rPr>
        <w:t xml:space="preserve"> курса рубля.</w:t>
      </w:r>
    </w:p>
    <w:p w:rsidR="0008626A" w:rsidRPr="00C86443" w:rsidRDefault="0008626A" w:rsidP="005458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443">
        <w:rPr>
          <w:rFonts w:ascii="Times New Roman" w:hAnsi="Times New Roman" w:cs="Times New Roman"/>
          <w:sz w:val="24"/>
          <w:szCs w:val="24"/>
        </w:rPr>
        <w:t>Прогнозные параметры согласованы с</w:t>
      </w:r>
      <w:r w:rsidR="00A30986" w:rsidRPr="00C86443">
        <w:rPr>
          <w:rFonts w:ascii="Times New Roman" w:hAnsi="Times New Roman" w:cs="Times New Roman"/>
          <w:sz w:val="24"/>
          <w:szCs w:val="24"/>
        </w:rPr>
        <w:t xml:space="preserve"> республиканскими органами исполнительной власти</w:t>
      </w:r>
      <w:r w:rsidRPr="00C86443">
        <w:rPr>
          <w:rFonts w:ascii="Times New Roman" w:hAnsi="Times New Roman" w:cs="Times New Roman"/>
          <w:sz w:val="24"/>
          <w:szCs w:val="24"/>
        </w:rPr>
        <w:t xml:space="preserve">. Основные показатели прогноза социально-экономического развития приведены в </w:t>
      </w:r>
      <w:proofErr w:type="gramStart"/>
      <w:r w:rsidRPr="00C86443">
        <w:rPr>
          <w:rFonts w:ascii="Times New Roman" w:hAnsi="Times New Roman" w:cs="Times New Roman"/>
          <w:sz w:val="24"/>
          <w:szCs w:val="24"/>
        </w:rPr>
        <w:t>приложении</w:t>
      </w:r>
      <w:proofErr w:type="gramEnd"/>
      <w:r w:rsidRPr="00C864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44E0" w:rsidRPr="00C86443" w:rsidRDefault="00446712" w:rsidP="005458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условиях высокой неопределенности развития экономики, которая во многом определяется геополитическими факторами, 2022 год стал серьёзным вызовом для экономики страны и республики. </w:t>
      </w:r>
    </w:p>
    <w:p w:rsidR="00EC44E0" w:rsidRPr="00C86443" w:rsidRDefault="00446712" w:rsidP="005458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Введенные беспрецедентные санкции оказывают значительные ограничения в развитие экономики: </w:t>
      </w:r>
    </w:p>
    <w:p w:rsidR="00446712" w:rsidRPr="00C86443" w:rsidRDefault="00446712" w:rsidP="005458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 ограничения внешнеторговой деятельности и транспортная блокада, отражаются на экспортно-импортных операциях;</w:t>
      </w:r>
    </w:p>
    <w:p w:rsidR="00446712" w:rsidRPr="00C86443" w:rsidRDefault="00446712" w:rsidP="005458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hAnsi="Times New Roman" w:cs="Times New Roman"/>
          <w:sz w:val="24"/>
          <w:szCs w:val="24"/>
          <w:shd w:val="clear" w:color="auto" w:fill="FFFFFF"/>
        </w:rPr>
        <w:t>- технологические ограничения влияют на реализацию инвестиционных проектов;</w:t>
      </w:r>
    </w:p>
    <w:p w:rsidR="00446712" w:rsidRPr="00C86443" w:rsidRDefault="00446712" w:rsidP="005458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рост инфляции в условиях дисбаланса спроса и предложения, </w:t>
      </w:r>
      <w:proofErr w:type="spellStart"/>
      <w:r w:rsidRPr="00C86443">
        <w:rPr>
          <w:rFonts w:ascii="Times New Roman" w:hAnsi="Times New Roman" w:cs="Times New Roman"/>
          <w:sz w:val="24"/>
          <w:szCs w:val="24"/>
          <w:shd w:val="clear" w:color="auto" w:fill="FFFFFF"/>
        </w:rPr>
        <w:t>волатильность</w:t>
      </w:r>
      <w:proofErr w:type="spellEnd"/>
      <w:r w:rsidRPr="00C86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цен на нефть и курса рубля влияют на деловую активность</w:t>
      </w:r>
      <w:r w:rsidR="006C22C4" w:rsidRPr="00C8644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45826" w:rsidRPr="00C86443" w:rsidRDefault="00745826" w:rsidP="005458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целях обеспечения устойчивого развития экономики </w:t>
      </w:r>
      <w:r w:rsidR="00ED42F6" w:rsidRPr="00C86443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района</w:t>
      </w:r>
      <w:r w:rsidRPr="00C86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оп</w:t>
      </w:r>
      <w:r w:rsidR="00ED42F6" w:rsidRPr="00C86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еративного реагирования </w:t>
      </w:r>
      <w:r w:rsidR="00C35773" w:rsidRPr="00C86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постановлением Администрации муниципального района Белебеевский район РБ от 18.03.2022г. №209 </w:t>
      </w:r>
      <w:r w:rsidR="00ED42F6" w:rsidRPr="00C86443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создана рабочая группа по обеспечению социально-экономического развития муниципального района Белебеевский район Республики Башкортостан</w:t>
      </w:r>
      <w:r w:rsidR="00C35773" w:rsidRPr="00C8644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D42F6" w:rsidRPr="00C86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C22C4" w:rsidRPr="00C86443" w:rsidRDefault="006C22C4" w:rsidP="005458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условиях </w:t>
      </w:r>
      <w:proofErr w:type="spellStart"/>
      <w:r w:rsidRPr="00C86443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545875" w:rsidRPr="00C86443">
        <w:rPr>
          <w:rFonts w:ascii="Times New Roman" w:hAnsi="Times New Roman" w:cs="Times New Roman"/>
          <w:sz w:val="24"/>
          <w:szCs w:val="24"/>
          <w:shd w:val="clear" w:color="auto" w:fill="FFFFFF"/>
        </w:rPr>
        <w:t>анкц</w:t>
      </w:r>
      <w:r w:rsidRPr="00C86443">
        <w:rPr>
          <w:rFonts w:ascii="Times New Roman" w:hAnsi="Times New Roman" w:cs="Times New Roman"/>
          <w:sz w:val="24"/>
          <w:szCs w:val="24"/>
          <w:shd w:val="clear" w:color="auto" w:fill="FFFFFF"/>
        </w:rPr>
        <w:t>ионного</w:t>
      </w:r>
      <w:proofErr w:type="spellEnd"/>
      <w:r w:rsidRPr="00C86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давления предприятиям</w:t>
      </w:r>
      <w:r w:rsidR="0011110F" w:rsidRPr="00C86443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C86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организациям</w:t>
      </w:r>
      <w:r w:rsidR="0011110F" w:rsidRPr="00C86443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C86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района и в целом по республике оперативно организована работа по: </w:t>
      </w:r>
    </w:p>
    <w:p w:rsidR="006C22C4" w:rsidRPr="00C86443" w:rsidRDefault="006C22C4" w:rsidP="005458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hAnsi="Times New Roman" w:cs="Times New Roman"/>
          <w:sz w:val="24"/>
          <w:szCs w:val="24"/>
          <w:shd w:val="clear" w:color="auto" w:fill="FFFFFF"/>
        </w:rPr>
        <w:t>- налаживанию новых кооперационных связей;</w:t>
      </w:r>
    </w:p>
    <w:p w:rsidR="006C22C4" w:rsidRPr="00C86443" w:rsidRDefault="006C22C4" w:rsidP="005458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C86443">
        <w:rPr>
          <w:rFonts w:ascii="Times New Roman" w:hAnsi="Times New Roman" w:cs="Times New Roman"/>
          <w:sz w:val="24"/>
          <w:szCs w:val="24"/>
          <w:shd w:val="clear" w:color="auto" w:fill="FFFFFF"/>
        </w:rPr>
        <w:t>перестраиванию</w:t>
      </w:r>
      <w:proofErr w:type="spellEnd"/>
      <w:r w:rsidRPr="00C86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86443">
        <w:rPr>
          <w:rFonts w:ascii="Times New Roman" w:hAnsi="Times New Roman" w:cs="Times New Roman"/>
          <w:sz w:val="24"/>
          <w:szCs w:val="24"/>
          <w:shd w:val="clear" w:color="auto" w:fill="FFFFFF"/>
        </w:rPr>
        <w:t>логистических</w:t>
      </w:r>
      <w:proofErr w:type="spellEnd"/>
      <w:r w:rsidRPr="00C86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цепочек;</w:t>
      </w:r>
    </w:p>
    <w:p w:rsidR="006C22C4" w:rsidRPr="00C86443" w:rsidRDefault="006C22C4" w:rsidP="005458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hAnsi="Times New Roman" w:cs="Times New Roman"/>
          <w:sz w:val="24"/>
          <w:szCs w:val="24"/>
          <w:shd w:val="clear" w:color="auto" w:fill="FFFFFF"/>
        </w:rPr>
        <w:t>- поиску новых рынков сбыта;</w:t>
      </w:r>
    </w:p>
    <w:p w:rsidR="0011110F" w:rsidRPr="00C86443" w:rsidRDefault="006C22C4" w:rsidP="005458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C86443">
        <w:rPr>
          <w:rFonts w:ascii="Times New Roman" w:hAnsi="Times New Roman" w:cs="Times New Roman"/>
          <w:sz w:val="24"/>
          <w:szCs w:val="24"/>
          <w:shd w:val="clear" w:color="auto" w:fill="FFFFFF"/>
        </w:rPr>
        <w:t>импортозамещению</w:t>
      </w:r>
      <w:proofErr w:type="spellEnd"/>
      <w:r w:rsidRPr="00C86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B00B96" w:rsidRPr="00C86443" w:rsidRDefault="00FD4B34" w:rsidP="005458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01"/>
          <w:color w:val="auto"/>
          <w:sz w:val="24"/>
          <w:szCs w:val="24"/>
        </w:rPr>
      </w:pPr>
      <w:r w:rsidRPr="00C86443">
        <w:rPr>
          <w:rFonts w:ascii="Times New Roman" w:hAnsi="Times New Roman" w:cs="Times New Roman"/>
          <w:sz w:val="24"/>
          <w:szCs w:val="24"/>
        </w:rPr>
        <w:t>Благодаря комплексу мер принятых Банком России и Правительством Российской Федераци</w:t>
      </w:r>
      <w:r w:rsidR="00745826" w:rsidRPr="00C86443">
        <w:rPr>
          <w:rFonts w:ascii="Times New Roman" w:hAnsi="Times New Roman" w:cs="Times New Roman"/>
          <w:sz w:val="24"/>
          <w:szCs w:val="24"/>
        </w:rPr>
        <w:t xml:space="preserve">и, </w:t>
      </w:r>
      <w:hyperlink r:id="rId8" w:history="1">
        <w:r w:rsidR="00745826" w:rsidRPr="00C86443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="00745826" w:rsidRPr="00C86443">
        <w:rPr>
          <w:rFonts w:ascii="Times New Roman" w:hAnsi="Times New Roman" w:cs="Times New Roman"/>
          <w:sz w:val="24"/>
          <w:szCs w:val="24"/>
        </w:rPr>
        <w:t xml:space="preserve">у первоочередных мер по обеспечению устойчивого развития Республики Башкортостан, </w:t>
      </w:r>
      <w:r w:rsidRPr="00C86443">
        <w:rPr>
          <w:rFonts w:ascii="Times New Roman" w:hAnsi="Times New Roman" w:cs="Times New Roman"/>
          <w:sz w:val="24"/>
          <w:szCs w:val="24"/>
        </w:rPr>
        <w:t xml:space="preserve">удалось </w:t>
      </w:r>
      <w:r w:rsidRPr="00C86443">
        <w:rPr>
          <w:rFonts w:ascii="Times New Roman" w:hAnsi="Times New Roman" w:cs="Times New Roman"/>
          <w:bCs/>
          <w:sz w:val="24"/>
          <w:szCs w:val="24"/>
        </w:rPr>
        <w:t>сохранить устойчивость финансового и валютного рынков, стабилизировать ситуацию в экономике</w:t>
      </w:r>
      <w:r w:rsidR="00E21B0F" w:rsidRPr="00C8644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="00E21B0F" w:rsidRPr="00C86443">
        <w:rPr>
          <w:rFonts w:ascii="Times New Roman" w:hAnsi="Times New Roman" w:cs="Times New Roman"/>
          <w:bCs/>
          <w:sz w:val="24"/>
          <w:szCs w:val="24"/>
        </w:rPr>
        <w:t>облегчить и ускорить</w:t>
      </w:r>
      <w:proofErr w:type="gramEnd"/>
      <w:r w:rsidR="00E21B0F" w:rsidRPr="00C86443">
        <w:rPr>
          <w:rFonts w:ascii="Times New Roman" w:hAnsi="Times New Roman" w:cs="Times New Roman"/>
          <w:bCs/>
          <w:sz w:val="24"/>
          <w:szCs w:val="24"/>
        </w:rPr>
        <w:t xml:space="preserve"> адаптацию экономики к новым условиям</w:t>
      </w:r>
      <w:r w:rsidRPr="00C86443">
        <w:rPr>
          <w:rFonts w:ascii="Times New Roman" w:hAnsi="Times New Roman" w:cs="Times New Roman"/>
          <w:sz w:val="24"/>
          <w:szCs w:val="24"/>
        </w:rPr>
        <w:t>.</w:t>
      </w:r>
      <w:r w:rsidR="006C22C4" w:rsidRPr="00C86443">
        <w:rPr>
          <w:rStyle w:val="fontstyle01"/>
          <w:color w:val="auto"/>
          <w:sz w:val="24"/>
          <w:szCs w:val="24"/>
        </w:rPr>
        <w:t xml:space="preserve"> </w:t>
      </w:r>
    </w:p>
    <w:p w:rsidR="003302A9" w:rsidRPr="00C86443" w:rsidRDefault="003302A9" w:rsidP="003302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86443"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рамках прогноза социально-экономического развития на 2024-2026 годы, подготовленного</w:t>
      </w:r>
      <w:r w:rsidR="00C35E34" w:rsidRPr="00C86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июне 2023 года</w:t>
      </w:r>
      <w:r w:rsidRPr="00C86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учетом предварительных итогов социально-экономического развития муниципального района за январь-май 2023 года и ожидаемых итогов социально-экономического развития Белебеевского района</w:t>
      </w:r>
      <w:r w:rsidR="00C35E34" w:rsidRPr="00C86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декабре</w:t>
      </w:r>
      <w:r w:rsidRPr="00C86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 скорректирован ряд ключевых показателей в соответствии с изменениями социально-экономического развития </w:t>
      </w:r>
      <w:r w:rsidR="00C35E34" w:rsidRPr="00C86443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района за</w:t>
      </w:r>
      <w:r w:rsidRPr="00C86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35E34" w:rsidRPr="00C86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 </w:t>
      </w:r>
      <w:r w:rsidRPr="00C86443">
        <w:rPr>
          <w:rFonts w:ascii="Times New Roman" w:hAnsi="Times New Roman" w:cs="Times New Roman"/>
          <w:sz w:val="24"/>
          <w:szCs w:val="24"/>
          <w:shd w:val="clear" w:color="auto" w:fill="FFFFFF"/>
        </w:rPr>
        <w:t>месяцев 2023 года.</w:t>
      </w:r>
      <w:proofErr w:type="gramEnd"/>
    </w:p>
    <w:p w:rsidR="003302A9" w:rsidRPr="00C86443" w:rsidRDefault="003302A9" w:rsidP="003302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hAnsi="Times New Roman" w:cs="Times New Roman"/>
          <w:sz w:val="24"/>
          <w:szCs w:val="24"/>
          <w:shd w:val="clear" w:color="auto" w:fill="FFFFFF"/>
        </w:rPr>
        <w:t>В прогнозе учтены следующие тенденции:</w:t>
      </w:r>
    </w:p>
    <w:p w:rsidR="003302A9" w:rsidRPr="00C86443" w:rsidRDefault="003302A9" w:rsidP="003302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hAnsi="Times New Roman" w:cs="Times New Roman"/>
          <w:sz w:val="24"/>
          <w:szCs w:val="24"/>
          <w:shd w:val="clear" w:color="auto" w:fill="FFFFFF"/>
        </w:rPr>
        <w:t>- более высокий уровень мировых цен на нефть, по сравнению с уровнем, прогнозируемым в начале 2023 года;</w:t>
      </w:r>
    </w:p>
    <w:p w:rsidR="003302A9" w:rsidRPr="00C86443" w:rsidRDefault="003302A9" w:rsidP="003302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hAnsi="Times New Roman" w:cs="Times New Roman"/>
          <w:sz w:val="24"/>
          <w:szCs w:val="24"/>
          <w:shd w:val="clear" w:color="auto" w:fill="FFFFFF"/>
        </w:rPr>
        <w:t>-  ослабление рубля по отношению к иностранным валютам;</w:t>
      </w:r>
    </w:p>
    <w:p w:rsidR="003302A9" w:rsidRPr="00C86443" w:rsidRDefault="003302A9" w:rsidP="003302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hAnsi="Times New Roman" w:cs="Times New Roman"/>
          <w:sz w:val="24"/>
          <w:szCs w:val="24"/>
          <w:shd w:val="clear" w:color="auto" w:fill="FFFFFF"/>
        </w:rPr>
        <w:t>-  сохранение низкого уровня безработицы и рост реальных доходов населения;</w:t>
      </w:r>
    </w:p>
    <w:p w:rsidR="003302A9" w:rsidRPr="00C86443" w:rsidRDefault="003302A9" w:rsidP="003302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 опережающий рост выпуска в </w:t>
      </w:r>
      <w:proofErr w:type="gramStart"/>
      <w:r w:rsidRPr="00C86443">
        <w:rPr>
          <w:rFonts w:ascii="Times New Roman" w:hAnsi="Times New Roman" w:cs="Times New Roman"/>
          <w:sz w:val="24"/>
          <w:szCs w:val="24"/>
          <w:shd w:val="clear" w:color="auto" w:fill="FFFFFF"/>
        </w:rPr>
        <w:t>обрабатывающей</w:t>
      </w:r>
      <w:proofErr w:type="gramEnd"/>
      <w:r w:rsidRPr="00C86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промышленности, в основном за счет отраслей машиностроительного комплекса. </w:t>
      </w:r>
    </w:p>
    <w:p w:rsidR="00B602A1" w:rsidRPr="00C86443" w:rsidRDefault="00B602A1" w:rsidP="005458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</w:p>
    <w:p w:rsidR="00DE2495" w:rsidRPr="00C86443" w:rsidRDefault="00DE2495" w:rsidP="00545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43">
        <w:rPr>
          <w:rFonts w:ascii="Times New Roman" w:hAnsi="Times New Roman" w:cs="Times New Roman"/>
          <w:sz w:val="24"/>
          <w:szCs w:val="24"/>
        </w:rPr>
        <w:br w:type="page"/>
      </w:r>
    </w:p>
    <w:p w:rsidR="00825674" w:rsidRPr="00C86443" w:rsidRDefault="00825674" w:rsidP="00545875">
      <w:pPr>
        <w:pStyle w:val="1"/>
        <w:ind w:firstLine="709"/>
        <w:rPr>
          <w:i w:val="0"/>
          <w:sz w:val="24"/>
        </w:rPr>
      </w:pPr>
      <w:r w:rsidRPr="00C86443">
        <w:rPr>
          <w:i w:val="0"/>
          <w:sz w:val="24"/>
        </w:rPr>
        <w:lastRenderedPageBreak/>
        <w:t>Пояснительная записка</w:t>
      </w:r>
    </w:p>
    <w:p w:rsidR="00C46E3D" w:rsidRPr="00C86443" w:rsidRDefault="00861654" w:rsidP="00545875">
      <w:pPr>
        <w:pStyle w:val="1"/>
        <w:ind w:firstLine="709"/>
        <w:rPr>
          <w:i w:val="0"/>
          <w:sz w:val="24"/>
        </w:rPr>
      </w:pPr>
      <w:r w:rsidRPr="00C86443">
        <w:rPr>
          <w:i w:val="0"/>
          <w:sz w:val="24"/>
        </w:rPr>
        <w:t xml:space="preserve">к </w:t>
      </w:r>
      <w:r w:rsidR="004D2A00" w:rsidRPr="00C86443">
        <w:rPr>
          <w:i w:val="0"/>
          <w:sz w:val="24"/>
        </w:rPr>
        <w:t xml:space="preserve">прогнозу </w:t>
      </w:r>
      <w:proofErr w:type="gramStart"/>
      <w:r w:rsidR="004D2A00" w:rsidRPr="00C86443">
        <w:rPr>
          <w:i w:val="0"/>
          <w:sz w:val="24"/>
        </w:rPr>
        <w:t>социально-экономического</w:t>
      </w:r>
      <w:proofErr w:type="gramEnd"/>
      <w:r w:rsidR="004D2A00" w:rsidRPr="00C86443">
        <w:rPr>
          <w:i w:val="0"/>
          <w:sz w:val="24"/>
        </w:rPr>
        <w:t xml:space="preserve"> развития</w:t>
      </w:r>
    </w:p>
    <w:p w:rsidR="00C46E3D" w:rsidRPr="00C86443" w:rsidRDefault="004D2A00" w:rsidP="00545875">
      <w:pPr>
        <w:pStyle w:val="1"/>
        <w:ind w:firstLine="709"/>
        <w:rPr>
          <w:i w:val="0"/>
          <w:sz w:val="24"/>
        </w:rPr>
      </w:pPr>
      <w:proofErr w:type="gramStart"/>
      <w:r w:rsidRPr="00C86443">
        <w:rPr>
          <w:i w:val="0"/>
          <w:sz w:val="24"/>
        </w:rPr>
        <w:t>муниципального района Белебеевский район Республики Башкорто</w:t>
      </w:r>
      <w:r w:rsidR="000125E2" w:rsidRPr="00C86443">
        <w:rPr>
          <w:i w:val="0"/>
          <w:sz w:val="24"/>
        </w:rPr>
        <w:t>стан</w:t>
      </w:r>
      <w:proofErr w:type="gramEnd"/>
    </w:p>
    <w:p w:rsidR="004D2A00" w:rsidRPr="00C86443" w:rsidRDefault="00C46E3D" w:rsidP="00545875">
      <w:pPr>
        <w:pStyle w:val="1"/>
        <w:ind w:firstLine="709"/>
        <w:rPr>
          <w:i w:val="0"/>
          <w:sz w:val="24"/>
        </w:rPr>
      </w:pPr>
      <w:r w:rsidRPr="00C86443">
        <w:rPr>
          <w:i w:val="0"/>
          <w:sz w:val="24"/>
        </w:rPr>
        <w:t>на 202</w:t>
      </w:r>
      <w:r w:rsidR="0011110F" w:rsidRPr="00C86443">
        <w:rPr>
          <w:i w:val="0"/>
          <w:sz w:val="24"/>
        </w:rPr>
        <w:t>4</w:t>
      </w:r>
      <w:r w:rsidRPr="00C86443">
        <w:rPr>
          <w:i w:val="0"/>
          <w:sz w:val="24"/>
        </w:rPr>
        <w:t xml:space="preserve"> год и плановый период </w:t>
      </w:r>
      <w:r w:rsidR="004D2A00" w:rsidRPr="00C86443">
        <w:rPr>
          <w:i w:val="0"/>
          <w:sz w:val="24"/>
        </w:rPr>
        <w:t>20</w:t>
      </w:r>
      <w:r w:rsidRPr="00C86443">
        <w:rPr>
          <w:i w:val="0"/>
          <w:sz w:val="24"/>
        </w:rPr>
        <w:t>2</w:t>
      </w:r>
      <w:r w:rsidR="0011110F" w:rsidRPr="00C86443">
        <w:rPr>
          <w:i w:val="0"/>
          <w:sz w:val="24"/>
        </w:rPr>
        <w:t>5</w:t>
      </w:r>
      <w:r w:rsidRPr="00C86443">
        <w:rPr>
          <w:i w:val="0"/>
          <w:sz w:val="24"/>
        </w:rPr>
        <w:t xml:space="preserve"> и </w:t>
      </w:r>
      <w:r w:rsidR="00861654" w:rsidRPr="00C86443">
        <w:rPr>
          <w:i w:val="0"/>
          <w:sz w:val="24"/>
        </w:rPr>
        <w:t>2</w:t>
      </w:r>
      <w:r w:rsidRPr="00C86443">
        <w:rPr>
          <w:i w:val="0"/>
          <w:sz w:val="24"/>
        </w:rPr>
        <w:t>02</w:t>
      </w:r>
      <w:r w:rsidR="0011110F" w:rsidRPr="00C86443">
        <w:rPr>
          <w:i w:val="0"/>
          <w:sz w:val="24"/>
        </w:rPr>
        <w:t>6</w:t>
      </w:r>
      <w:r w:rsidR="00AA45FA" w:rsidRPr="00C86443">
        <w:rPr>
          <w:i w:val="0"/>
          <w:sz w:val="24"/>
        </w:rPr>
        <w:t xml:space="preserve"> год</w:t>
      </w:r>
      <w:r w:rsidR="00636DA8" w:rsidRPr="00C86443">
        <w:rPr>
          <w:i w:val="0"/>
          <w:sz w:val="24"/>
        </w:rPr>
        <w:t>ы</w:t>
      </w:r>
    </w:p>
    <w:p w:rsidR="00825674" w:rsidRPr="00C86443" w:rsidRDefault="00825674" w:rsidP="00545875">
      <w:pPr>
        <w:pStyle w:val="1"/>
        <w:ind w:firstLine="709"/>
        <w:rPr>
          <w:sz w:val="24"/>
        </w:rPr>
      </w:pPr>
    </w:p>
    <w:p w:rsidR="00F81B5E" w:rsidRPr="00C86443" w:rsidRDefault="007E5F1D" w:rsidP="00F81B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Разработка прогноза социально-экономического развития муниципального района Белебеевский район Республики Башкортостан выполнена на основе предложений предприятий и организаций муниципального района, анализ</w:t>
      </w:r>
      <w:r w:rsidR="00F81B5E" w:rsidRPr="00C86443">
        <w:rPr>
          <w:rFonts w:ascii="Times New Roman" w:hAnsi="Times New Roman" w:cs="Times New Roman"/>
          <w:sz w:val="24"/>
          <w:szCs w:val="24"/>
          <w:shd w:val="clear" w:color="auto" w:fill="FFFFFF"/>
        </w:rPr>
        <w:t>а общей экономической ситуации.</w:t>
      </w:r>
    </w:p>
    <w:p w:rsidR="00F81B5E" w:rsidRPr="00C86443" w:rsidRDefault="00F81B5E" w:rsidP="00F81B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hAnsi="Times New Roman" w:cs="Times New Roman"/>
          <w:sz w:val="24"/>
          <w:szCs w:val="24"/>
          <w:shd w:val="clear" w:color="auto" w:fill="FFFFFF"/>
        </w:rPr>
        <w:t>В сфере добычи полезных ископаемых, обрабатывающих производств, производства и распределения электроэнергии газа и воды занято 45% всех работников предприятий и организаций района.</w:t>
      </w:r>
    </w:p>
    <w:p w:rsidR="00F81B5E" w:rsidRPr="00C86443" w:rsidRDefault="00F81B5E" w:rsidP="00F81B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Роль промышленности в </w:t>
      </w:r>
      <w:proofErr w:type="gramStart"/>
      <w:r w:rsidRPr="00C86443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формировании</w:t>
      </w:r>
      <w:proofErr w:type="gramEnd"/>
      <w:r w:rsidRPr="00C86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бюджетов всех уровней и значительное число работников, занятых в отрасли, позволяют отнести успешное развитие промышленного комплекса к основным факторам экономической и социальной стабильности в районе.</w:t>
      </w:r>
    </w:p>
    <w:p w:rsidR="00F81B5E" w:rsidRPr="00C86443" w:rsidRDefault="00F81B5E" w:rsidP="00F81B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итогам работы в 2022 году крупными и средними промышленными предприятиями муниципального района </w:t>
      </w:r>
      <w:proofErr w:type="gramStart"/>
      <w:r w:rsidRPr="00C86443">
        <w:rPr>
          <w:rFonts w:ascii="Times New Roman" w:hAnsi="Times New Roman" w:cs="Times New Roman"/>
          <w:sz w:val="24"/>
          <w:szCs w:val="24"/>
          <w:shd w:val="clear" w:color="auto" w:fill="FFFFFF"/>
        </w:rPr>
        <w:t>отгружено продукции и оказано</w:t>
      </w:r>
      <w:proofErr w:type="gramEnd"/>
      <w:r w:rsidRPr="00C86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услуг промышленного характера на сумму 25 млрд. 289 млн. рублей, что на 9,5 % больше, чем в 2021 году.</w:t>
      </w:r>
    </w:p>
    <w:p w:rsidR="0008626A" w:rsidRPr="00C86443" w:rsidRDefault="0008626A" w:rsidP="00545875">
      <w:pPr>
        <w:pStyle w:val="a4"/>
        <w:ind w:firstLine="709"/>
        <w:jc w:val="both"/>
        <w:rPr>
          <w:bCs/>
          <w:sz w:val="24"/>
        </w:rPr>
      </w:pPr>
      <w:r w:rsidRPr="00C86443">
        <w:rPr>
          <w:bCs/>
          <w:sz w:val="24"/>
        </w:rPr>
        <w:t>Отраслевая структура промышленного комплекса представлена на диаграмме.</w:t>
      </w:r>
    </w:p>
    <w:p w:rsidR="0008626A" w:rsidRPr="00C86443" w:rsidRDefault="0008626A" w:rsidP="00545875">
      <w:pPr>
        <w:pStyle w:val="a4"/>
        <w:ind w:firstLine="709"/>
        <w:jc w:val="both"/>
        <w:rPr>
          <w:bCs/>
          <w:sz w:val="24"/>
        </w:rPr>
      </w:pPr>
    </w:p>
    <w:p w:rsidR="0008626A" w:rsidRPr="00C86443" w:rsidRDefault="0008626A" w:rsidP="00545875">
      <w:pPr>
        <w:pStyle w:val="a4"/>
        <w:ind w:firstLine="709"/>
        <w:jc w:val="center"/>
        <w:rPr>
          <w:bCs/>
          <w:sz w:val="24"/>
        </w:rPr>
      </w:pPr>
      <w:r w:rsidRPr="00C86443">
        <w:rPr>
          <w:bCs/>
          <w:sz w:val="24"/>
        </w:rPr>
        <w:t xml:space="preserve">Структура </w:t>
      </w:r>
      <w:proofErr w:type="gramStart"/>
      <w:r w:rsidRPr="00C86443">
        <w:rPr>
          <w:bCs/>
          <w:sz w:val="24"/>
        </w:rPr>
        <w:t>формирования объемов отгрузки организаций</w:t>
      </w:r>
      <w:proofErr w:type="gramEnd"/>
      <w:r w:rsidRPr="00C86443">
        <w:rPr>
          <w:bCs/>
          <w:sz w:val="24"/>
        </w:rPr>
        <w:t xml:space="preserve"> Белебеевского района</w:t>
      </w:r>
    </w:p>
    <w:p w:rsidR="0008626A" w:rsidRPr="00C86443" w:rsidRDefault="0008626A" w:rsidP="00545875">
      <w:pPr>
        <w:pStyle w:val="a4"/>
        <w:ind w:firstLine="709"/>
        <w:jc w:val="center"/>
        <w:rPr>
          <w:bCs/>
          <w:sz w:val="24"/>
        </w:rPr>
      </w:pPr>
      <w:r w:rsidRPr="00C86443">
        <w:rPr>
          <w:bCs/>
          <w:sz w:val="24"/>
        </w:rPr>
        <w:t>по предприятиям промышленного комплекса в 202</w:t>
      </w:r>
      <w:r w:rsidR="00F93BEB" w:rsidRPr="00C86443">
        <w:rPr>
          <w:bCs/>
          <w:sz w:val="24"/>
        </w:rPr>
        <w:t>2</w:t>
      </w:r>
      <w:r w:rsidRPr="00C86443">
        <w:rPr>
          <w:bCs/>
          <w:sz w:val="24"/>
        </w:rPr>
        <w:t xml:space="preserve"> году</w:t>
      </w:r>
    </w:p>
    <w:p w:rsidR="0008626A" w:rsidRPr="00C86443" w:rsidRDefault="0008626A" w:rsidP="00545875">
      <w:pPr>
        <w:pStyle w:val="a4"/>
        <w:ind w:firstLine="709"/>
        <w:jc w:val="center"/>
        <w:rPr>
          <w:bCs/>
          <w:sz w:val="24"/>
        </w:rPr>
      </w:pPr>
      <w:r w:rsidRPr="00C86443">
        <w:rPr>
          <w:bCs/>
          <w:sz w:val="24"/>
        </w:rPr>
        <w:t>по полному кругу предприятий</w:t>
      </w:r>
    </w:p>
    <w:p w:rsidR="0008626A" w:rsidRPr="00C86443" w:rsidRDefault="0008626A" w:rsidP="00545875">
      <w:pPr>
        <w:pStyle w:val="a4"/>
        <w:ind w:firstLine="709"/>
        <w:jc w:val="center"/>
        <w:rPr>
          <w:bCs/>
          <w:sz w:val="24"/>
        </w:rPr>
      </w:pPr>
      <w:r w:rsidRPr="00C86443">
        <w:rPr>
          <w:bCs/>
          <w:sz w:val="24"/>
        </w:rPr>
        <w:t>(в % к общему объему отгрузки)</w:t>
      </w:r>
    </w:p>
    <w:p w:rsidR="00C46E3D" w:rsidRPr="00C86443" w:rsidRDefault="00F81B5E" w:rsidP="00545875">
      <w:pPr>
        <w:spacing w:after="0" w:line="240" w:lineRule="auto"/>
        <w:ind w:firstLine="284"/>
        <w:jc w:val="both"/>
        <w:rPr>
          <w:rFonts w:ascii="Arial" w:hAnsi="Arial" w:cs="Arial"/>
          <w:bCs/>
          <w:sz w:val="24"/>
          <w:szCs w:val="24"/>
          <w:highlight w:val="yellow"/>
        </w:rPr>
      </w:pPr>
      <w:r w:rsidRPr="00C86443"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6124575" cy="3743325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823D6" w:rsidRPr="00C86443" w:rsidRDefault="00A823D6" w:rsidP="005458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</w:rPr>
      </w:pPr>
    </w:p>
    <w:p w:rsidR="006F0693" w:rsidRPr="00C86443" w:rsidRDefault="00691FF8" w:rsidP="005458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Согласно данным статистики по чистым видам экономической деятельности п</w:t>
      </w:r>
      <w:r w:rsidR="006F0693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редприятиями в сфере добычи полезных ископаемых отгружено продукции (оказано услуг) на сумму </w:t>
      </w:r>
      <w:r w:rsidR="00A823D6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1,062</w:t>
      </w:r>
      <w:r w:rsidR="006F0693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млрд. рублей</w:t>
      </w:r>
      <w:r w:rsidR="00A823D6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что составляет 133,8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 к 202</w:t>
      </w:r>
      <w:r w:rsidR="00A823D6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году</w:t>
      </w:r>
      <w:r w:rsidR="006F0693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в сфере обрабатывающих производств отгружено продукции, (оказано услуг) - на сумму </w:t>
      </w:r>
      <w:r w:rsidR="00A823D6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21,416</w:t>
      </w:r>
      <w:r w:rsidR="006F0693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млрд. рублей (на </w:t>
      </w:r>
      <w:r w:rsidR="00A823D6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9,0</w:t>
      </w:r>
      <w:r w:rsidR="006F0693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 больше, чем в 202</w:t>
      </w:r>
      <w:r w:rsidR="00A823D6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 w:rsidR="006F0693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году), предприятиями обеспечения электрической энергией, газом и паром, кондиционированием воздуха – на сумму 2,</w:t>
      </w:r>
      <w:r w:rsidR="00A823D6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522</w:t>
      </w:r>
      <w:proofErr w:type="gramEnd"/>
      <w:r w:rsidR="00A823D6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F0693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млрд. рублей (на </w:t>
      </w:r>
      <w:r w:rsidR="00A823D6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10,2</w:t>
      </w:r>
      <w:r w:rsidR="006F0693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% больше показателя 202</w:t>
      </w:r>
      <w:r w:rsidR="00A823D6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 w:rsidR="006F0693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года), предприятиями водоснабжения, водоотведения, организации сбора и утилизации отходов, деятельности по ликвидации загрязнений - на сумму 0,</w:t>
      </w:r>
      <w:r w:rsidR="00A823D6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511</w:t>
      </w:r>
      <w:r w:rsidR="006F0693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млрд. рублей (на </w:t>
      </w:r>
      <w:r w:rsidR="00A823D6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18,3</w:t>
      </w:r>
      <w:r w:rsidR="006F0693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% </w:t>
      </w:r>
      <w:r w:rsidR="00A823D6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меньш</w:t>
      </w:r>
      <w:r w:rsidR="006F0693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 показателя 202</w:t>
      </w:r>
      <w:r w:rsidR="00A823D6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 w:rsidR="006F0693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года).</w:t>
      </w:r>
    </w:p>
    <w:p w:rsidR="006F0693" w:rsidRPr="00C86443" w:rsidRDefault="006F0693" w:rsidP="005458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 разрезе предприятий Белебеевского района с наиболее весомыми положительными темпами роста объемов производства отработали: </w:t>
      </w:r>
      <w:r w:rsidR="00A823D6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ООО «Белебеевский машиностроительный завод» (114,3%), ОАО «Керамика» (112,5%), </w:t>
      </w:r>
      <w:r w:rsidR="00E54964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ООО «Белебеевский завод «</w:t>
      </w:r>
      <w:proofErr w:type="spellStart"/>
      <w:r w:rsidR="00E54964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Автокомплект</w:t>
      </w:r>
      <w:proofErr w:type="spellEnd"/>
      <w:r w:rsidR="00E54964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 (</w:t>
      </w:r>
      <w:r w:rsidR="00F81B5E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109,8</w:t>
      </w:r>
      <w:r w:rsidR="00E54964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%), </w:t>
      </w:r>
      <w:r w:rsidR="00C41EB4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АО «Белебеевский завод «</w:t>
      </w:r>
      <w:proofErr w:type="spellStart"/>
      <w:r w:rsidR="00C41EB4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Автонормаль</w:t>
      </w:r>
      <w:proofErr w:type="spellEnd"/>
      <w:r w:rsidR="00C41EB4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 (</w:t>
      </w:r>
      <w:r w:rsidR="00F81B5E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110,5</w:t>
      </w:r>
      <w:r w:rsidR="00C41EB4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%), 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ООО «</w:t>
      </w:r>
      <w:proofErr w:type="spell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Белебеевские</w:t>
      </w:r>
      <w:proofErr w:type="spell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городские электрические сети» (</w:t>
      </w:r>
      <w:r w:rsidR="00E54964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103,1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%), ООО «</w:t>
      </w:r>
      <w:proofErr w:type="spell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Теплоэнерго</w:t>
      </w:r>
      <w:proofErr w:type="spell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 (</w:t>
      </w:r>
      <w:r w:rsidR="00E54964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103,6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%)</w:t>
      </w:r>
      <w:r w:rsidR="00E54964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6F0693" w:rsidRPr="00C86443" w:rsidRDefault="006F0693" w:rsidP="005458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Численность занятых на крупных и средних предприятиях сферы добычи полезных ископаемых, обрабатывающих производств, обеспечения электрической энергией, газом и паром, кондиционированием воздуха, водоснабжения, водоотведения, организации сбора и утилизации отходов, деятельности по ликвидации загрязнений по итогам 202</w:t>
      </w:r>
      <w:r w:rsidR="00E54964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 года составила 7232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человек</w:t>
      </w:r>
      <w:r w:rsidR="00E54964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что на </w:t>
      </w:r>
      <w:r w:rsidR="00E54964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1,8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 меньше, чем в 202</w:t>
      </w:r>
      <w:r w:rsidR="00E54964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году. </w:t>
      </w:r>
      <w:proofErr w:type="gramEnd"/>
    </w:p>
    <w:p w:rsidR="006F0693" w:rsidRPr="00C86443" w:rsidRDefault="006F0693" w:rsidP="005458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Среднемесячная заработная плата </w:t>
      </w:r>
      <w:proofErr w:type="gram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увеличилась на 11,8% и составила</w:t>
      </w:r>
      <w:proofErr w:type="gram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54964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45056,6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рублей.</w:t>
      </w:r>
    </w:p>
    <w:p w:rsidR="006F0693" w:rsidRPr="00C86443" w:rsidRDefault="006F0693" w:rsidP="005458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 итогам работы предприятий промышленного комплекса в сфере обрабатывающих производств в 202</w:t>
      </w:r>
      <w:r w:rsidR="00E54964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году получена прибыль в размере </w:t>
      </w:r>
      <w:r w:rsidR="00FA442F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="008D0C5E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млрд. 3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млн. рублей (за 202</w:t>
      </w:r>
      <w:r w:rsidR="00FA442F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год – </w:t>
      </w:r>
      <w:r w:rsidR="00FA442F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 w:rsidR="008D0C5E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млрд. </w:t>
      </w:r>
      <w:r w:rsidR="00A349A9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234</w:t>
      </w:r>
      <w:r w:rsidR="008D0C5E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млн. рублей). </w:t>
      </w:r>
    </w:p>
    <w:p w:rsidR="006F0693" w:rsidRPr="00C86443" w:rsidRDefault="006F0693" w:rsidP="00210F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Отличительной особенностью мероприятий 20</w:t>
      </w:r>
      <w:r w:rsidR="00FA442F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22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года является направленность на диверсификацию производства,</w:t>
      </w:r>
      <w:r w:rsidR="005D1845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обеспечение предприятий сырьем, материалами и компонентами, сохранение безопасности и обеспечение устойчивой работы оборудования,</w:t>
      </w:r>
      <w:r w:rsidR="00630412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выстраивание эффективной логистики,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расширение рынков сбыта продукции</w:t>
      </w:r>
      <w:r w:rsidR="005D1845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повышение производительности труда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минимизацию </w:t>
      </w:r>
      <w:proofErr w:type="spell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монопрофильной</w:t>
      </w:r>
      <w:proofErr w:type="spell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структуры экономики района.</w:t>
      </w:r>
      <w:proofErr w:type="gram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сфере обрабатывающих производств инвестиции направляются на перевооружение производства, необходимое для повышения загрузки производственных мощностей.</w:t>
      </w:r>
    </w:p>
    <w:p w:rsidR="005D1845" w:rsidRPr="00C86443" w:rsidRDefault="005D1845" w:rsidP="005458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2022 году введено новое производство - ООО «</w:t>
      </w:r>
      <w:proofErr w:type="spell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СтройСнабМастер</w:t>
      </w:r>
      <w:proofErr w:type="spell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», производство железобетонных изделий.</w:t>
      </w:r>
    </w:p>
    <w:p w:rsidR="006F0693" w:rsidRPr="00C86443" w:rsidRDefault="006F0693" w:rsidP="005458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Одним из крупнейших производителей промышленной проду</w:t>
      </w:r>
      <w:r w:rsidR="00A349A9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кции района, по-прежнему, остае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тся </w:t>
      </w:r>
      <w:r w:rsidRPr="00C8644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АО «</w:t>
      </w:r>
      <w:proofErr w:type="spellStart"/>
      <w:r w:rsidRPr="00C8644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БелЗАН</w:t>
      </w:r>
      <w:proofErr w:type="spellEnd"/>
      <w:r w:rsidRPr="00C8644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- предприятие по производству нормалей и метизов</w:t>
      </w:r>
      <w:r w:rsidR="008D0C5E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(крепежные </w:t>
      </w:r>
      <w:r w:rsidR="00A349A9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изделия</w:t>
      </w:r>
      <w:r w:rsidR="008D0C5E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(в основном, для предприятий отечественного </w:t>
      </w:r>
      <w:proofErr w:type="spell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автопрома</w:t>
      </w:r>
      <w:proofErr w:type="spell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).</w:t>
      </w:r>
    </w:p>
    <w:p w:rsidR="006F0693" w:rsidRPr="00C86443" w:rsidRDefault="006F0693" w:rsidP="005458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Уровень качества производства и выпускаемой предприятием продукции соответствует мировым стандартам. Вся продукция АО «</w:t>
      </w:r>
      <w:proofErr w:type="spell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БелЗАН</w:t>
      </w:r>
      <w:proofErr w:type="spell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 подтверждена сертификатом соответствия международного автомобильного стандарта ИСО/ТУ 16949:2002.</w:t>
      </w:r>
    </w:p>
    <w:p w:rsidR="00BC43F3" w:rsidRPr="00C86443" w:rsidRDefault="00BC43F3" w:rsidP="005458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текущих условиях деятельность предприятия максимально ориентирована на поставки для предприятий автомобильной промышленности.</w:t>
      </w:r>
      <w:proofErr w:type="gram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При </w:t>
      </w:r>
      <w:r w:rsidR="00210F0F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этом, в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соответствии с </w:t>
      </w:r>
      <w:r w:rsidR="00210F0F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перспективной стратегией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развития АО «</w:t>
      </w:r>
      <w:proofErr w:type="spell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БелЗАН</w:t>
      </w:r>
      <w:proofErr w:type="spell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», которая - в большей степени - ориентирована на реализацию проектов, направленных на модернизацию и обновление, замену имеющихся производственных мощностей и их наращивание за счет приобретения современного </w:t>
      </w:r>
      <w:proofErr w:type="gram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высокотехнологичного производительного</w:t>
      </w:r>
      <w:proofErr w:type="gram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оборудования для высадочных цехов, пружинного, калибровочного, гальванического и инструментального производств. Завод продолжает работу по освоению крепежной продукции неавтомобильного назначения (крепёж для авиа и судостроения, нефтегазодобывающих отраслей и других). </w:t>
      </w:r>
    </w:p>
    <w:p w:rsidR="00BC43F3" w:rsidRPr="00C86443" w:rsidRDefault="00BC43F3" w:rsidP="005458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2022 году предприятием АО «</w:t>
      </w:r>
      <w:proofErr w:type="spell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БелЗАН</w:t>
      </w:r>
      <w:proofErr w:type="spell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 начато сотрудничество с предприяти</w:t>
      </w:r>
      <w:r w:rsidR="00167204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ем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Республики Беларусь - крупнейшим автомобильным производителем ОАО «Минский автомобильный завод». В этом направлении осваивается производство новых деталей, так осуществляется поставка 33 позиций крепежных изделий на ОАО «Минский автомобильный завод. Работа в данном </w:t>
      </w:r>
      <w:proofErr w:type="gram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направлении</w:t>
      </w:r>
      <w:proofErr w:type="gram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продолжается, в планах освоени</w:t>
      </w:r>
      <w:r w:rsidR="00210F0F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еще более 20 позиций новых изделий в течение 2023 года для предприятий Республики Беларусь.</w:t>
      </w:r>
    </w:p>
    <w:p w:rsidR="00BC43F3" w:rsidRPr="00C86443" w:rsidRDefault="00BC43F3" w:rsidP="005458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2022 году предприятием отгружено продукции на сумму 5 млрд. 706 млн. рублей, на 9,8% больше, чем в 2021 году. </w:t>
      </w:r>
    </w:p>
    <w:p w:rsidR="00BC43F3" w:rsidRPr="00C86443" w:rsidRDefault="00BC43F3" w:rsidP="005458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2023 году прогнозируется увеличение объемов производства продукции на 16,7%, планируется произвести продукции на 6 млрд. 658 млн. рублей. </w:t>
      </w:r>
    </w:p>
    <w:p w:rsidR="00BC43F3" w:rsidRPr="00C86443" w:rsidRDefault="00BC43F3" w:rsidP="005458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целях дальнейшего сохранения стабильного финансово-экономического положения предприятия проводятся следующие мероприятия:</w:t>
      </w:r>
    </w:p>
    <w:p w:rsidR="00BC43F3" w:rsidRPr="00C86443" w:rsidRDefault="00BC43F3" w:rsidP="005458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производство крепежа для авиа и судос</w:t>
      </w:r>
      <w:r w:rsidR="003D5364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троения, в частности, авиа </w:t>
      </w:r>
      <w:r w:rsidR="00557EBA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крепежа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из нержавеющей стали и титановых сплавов;</w:t>
      </w:r>
    </w:p>
    <w:p w:rsidR="00BC43F3" w:rsidRPr="00C86443" w:rsidRDefault="00BC43F3" w:rsidP="005458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расширение географии поставок ресурсного крепежа за счёт новых потребителей;</w:t>
      </w:r>
    </w:p>
    <w:p w:rsidR="00BC43F3" w:rsidRPr="00C86443" w:rsidRDefault="00BC43F3" w:rsidP="005458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- реализация проектов, направленных на оптимизацию производственного процесса, модернизацию существующего производства с целью повышения качества готовой продукции, снижения энергоёмкости продукции и повышение её рентабельности. </w:t>
      </w:r>
      <w:proofErr w:type="gramEnd"/>
    </w:p>
    <w:p w:rsidR="00BC43F3" w:rsidRPr="00C86443" w:rsidRDefault="00BC43F3" w:rsidP="005458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АО «</w:t>
      </w:r>
      <w:proofErr w:type="spell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БелЗАН</w:t>
      </w:r>
      <w:proofErr w:type="spell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на постоянной основе проводятся переговоры с представителями компаний для увеличения поставки действующим потребителям продукции, расширения потребителей, в том числе за счет иностранных </w:t>
      </w:r>
      <w:proofErr w:type="spell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автопроизводителей</w:t>
      </w:r>
      <w:proofErr w:type="spell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имеющих сборочные производства на территории РФ и реализующих программу локализации (</w:t>
      </w:r>
      <w:proofErr w:type="spell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импортозамещения</w:t>
      </w:r>
      <w:proofErr w:type="spell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). </w:t>
      </w:r>
    </w:p>
    <w:p w:rsidR="00BC43F3" w:rsidRPr="00C86443" w:rsidRDefault="00BC43F3" w:rsidP="005458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Приоритетом деятельности завода было и остается специализация на производстве автомобильного крепежа.</w:t>
      </w:r>
    </w:p>
    <w:p w:rsidR="00BC43F3" w:rsidRPr="00C86443" w:rsidRDefault="00BC43F3" w:rsidP="005458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A61C15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2024 году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планируется проведение объединения дочерней компании ООО «</w:t>
      </w:r>
      <w:proofErr w:type="spell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БелзанМЕТ</w:t>
      </w:r>
      <w:proofErr w:type="spell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 с АО «</w:t>
      </w:r>
      <w:proofErr w:type="spell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БелЗАН</w:t>
      </w:r>
      <w:proofErr w:type="spell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», с учетом основных направлений, предусмотренных в Стратегии развития АО «</w:t>
      </w:r>
      <w:proofErr w:type="spell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БелЗАН</w:t>
      </w:r>
      <w:proofErr w:type="spell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», которые предполагают:</w:t>
      </w:r>
    </w:p>
    <w:p w:rsidR="00BC43F3" w:rsidRPr="00C86443" w:rsidRDefault="00BC43F3" w:rsidP="005458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финансовые вложения, направленные на модернизацию и обновление, замену производственных мощностей и их наращивание за счет приобретения современного </w:t>
      </w:r>
      <w:proofErr w:type="gram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высокотехнологичного производительного</w:t>
      </w:r>
      <w:proofErr w:type="gram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оборудования для высадочных цехов, пружинного, калибровочного, гальванического и инструментального производств;</w:t>
      </w:r>
    </w:p>
    <w:p w:rsidR="00BC43F3" w:rsidRPr="00C86443" w:rsidRDefault="00BC43F3" w:rsidP="005458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снижение издержек, направленное на повышение эффективности деятельности предприятия, которое планомерно осуществляется в рамках управления производства по всей цепочке технологического цикла от входящего сырья до выхода готовой продукции и всего учета затрат.</w:t>
      </w:r>
    </w:p>
    <w:p w:rsidR="00BC43F3" w:rsidRPr="00C86443" w:rsidRDefault="00BC43F3" w:rsidP="005458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Таким образом, реализация мероприятий </w:t>
      </w:r>
      <w:r w:rsidR="00C73B23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 </w:t>
      </w:r>
      <w:r w:rsidR="00FB77AE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диверсификации производственного</w:t>
      </w:r>
      <w:r w:rsidR="00C73B23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портфеля 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позволит</w:t>
      </w:r>
      <w:r w:rsidR="00C73B23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увеличить конкурентоспособность на рынке, обеспечить стабильную занятость производственного персонала АО «</w:t>
      </w:r>
      <w:proofErr w:type="spell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БелЗАН</w:t>
      </w:r>
      <w:proofErr w:type="spell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».</w:t>
      </w:r>
    </w:p>
    <w:p w:rsidR="00C73B23" w:rsidRPr="00C86443" w:rsidRDefault="006F0693" w:rsidP="00545875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ООО «Белебеевский завод «</w:t>
      </w:r>
      <w:proofErr w:type="spellStart"/>
      <w:r w:rsidRPr="00C8644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Автокомплект</w:t>
      </w:r>
      <w:proofErr w:type="spellEnd"/>
      <w:r w:rsidRPr="00C8644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- предприятие является официальным поставщиком шаровых опор и рулевых наконечников для передней подвески ОАО «АвтоВАЗ», ЗАО «</w:t>
      </w:r>
      <w:proofErr w:type="spell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Джи-ЭМ</w:t>
      </w:r>
      <w:proofErr w:type="spell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АвтоВАЗ», ООО «</w:t>
      </w:r>
      <w:proofErr w:type="spell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УАЗ-Автокомпоненты</w:t>
      </w:r>
      <w:proofErr w:type="spell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». </w:t>
      </w:r>
      <w:r w:rsidR="00C73B23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вторичный рынок продукция реализуется крупным оптом. При поддержке Фонда развития промышленности с 2022</w:t>
      </w:r>
      <w:r w:rsidR="00FB77AE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года</w:t>
      </w:r>
      <w:r w:rsidR="00C73B23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 предприятии </w:t>
      </w:r>
      <w:r w:rsidR="00FB77AE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реализуется инвестиционная</w:t>
      </w:r>
      <w:r w:rsidR="00C73B23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программа «Освоение и производство нового вида продукции «тормозные диски для легковых автомобилей», которая позволила предприятию увеличить номенклатуру и объемы выпускаемой продукции. </w:t>
      </w:r>
    </w:p>
    <w:p w:rsidR="00C73B23" w:rsidRPr="00C86443" w:rsidRDefault="00C73B23" w:rsidP="00545875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2023 году прогнозируется увеличение объемов производства на 10% в объеме - 93,9 млн. рублей. </w:t>
      </w:r>
    </w:p>
    <w:p w:rsidR="00C73B23" w:rsidRPr="00C86443" w:rsidRDefault="00C73B23" w:rsidP="00545875">
      <w:pPr>
        <w:pStyle w:val="a4"/>
        <w:ind w:firstLine="709"/>
        <w:jc w:val="both"/>
        <w:rPr>
          <w:sz w:val="24"/>
        </w:rPr>
      </w:pPr>
      <w:r w:rsidRPr="00C86443">
        <w:rPr>
          <w:sz w:val="24"/>
        </w:rPr>
        <w:t xml:space="preserve">Заводом осуществляется экспорт продукции, в основном, в страны СНГ (Казахстан, Армения, Азербайджан), в текущих условиях наблюдается снижение экспортных поставок. </w:t>
      </w:r>
    </w:p>
    <w:p w:rsidR="006F0693" w:rsidRPr="00C86443" w:rsidRDefault="006F0693" w:rsidP="005458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ООО «Белебеевское предприятие «</w:t>
      </w:r>
      <w:proofErr w:type="spellStart"/>
      <w:r w:rsidRPr="00C8644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Автодеталь</w:t>
      </w:r>
      <w:proofErr w:type="spellEnd"/>
      <w:r w:rsidRPr="00C8644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также является поставщиком продукции на ОАО «АвтоВАЗ», ЗАО «ДЖИ ЭМ АвтоВАЗ» и в Объединенную Автомобильную группу.   </w:t>
      </w:r>
    </w:p>
    <w:p w:rsidR="006F0693" w:rsidRPr="00C86443" w:rsidRDefault="006F0693" w:rsidP="005458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связи со значительным снижением спроса на продукцию, ориентированную на автомобилестроение, предприятием проводится целенаправленная работа по освоению новых видов продукции – изделий из проволоки, перечень которых </w:t>
      </w:r>
      <w:proofErr w:type="gram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имеет до 1000 наименований и постоянно пополняется</w:t>
      </w:r>
      <w:proofErr w:type="gram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(по мере поступления новых заказов). Доля этой продукции в настоя</w:t>
      </w:r>
      <w:r w:rsidR="00FB77AE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щее время составляет порядка 45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% от общего объема производства. </w:t>
      </w:r>
      <w:proofErr w:type="gram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Потребителями данной продукции являются предприятия по производству теплиц, продукции для птицеводческих фермерских хозяйств, по заготовке пушного зверя, по производству вентиляторов и тепловых пушек, бытовой продукции, производству подвесов волоконно-оптических линий связи, торговых и прочих предприятий.</w:t>
      </w:r>
      <w:proofErr w:type="gramEnd"/>
    </w:p>
    <w:p w:rsidR="006F0693" w:rsidRPr="00C86443" w:rsidRDefault="006F0693" w:rsidP="00545875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ООО «</w:t>
      </w:r>
      <w:proofErr w:type="spell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БелАвтодеталь</w:t>
      </w:r>
      <w:proofErr w:type="spell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используется труд инвалидов по зрению (порядка 50% промышленно-производственного персонала). </w:t>
      </w:r>
    </w:p>
    <w:p w:rsidR="00AF54C0" w:rsidRPr="00C86443" w:rsidRDefault="00AF54C0" w:rsidP="00545875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целях продвижения на рынке своей продукции, предприятие активно участвует во всероссийских и республиканских выставках. </w:t>
      </w:r>
    </w:p>
    <w:p w:rsidR="00AF54C0" w:rsidRPr="00C86443" w:rsidRDefault="00AF54C0" w:rsidP="00545875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Основным заказчиком продукции ООО «</w:t>
      </w:r>
      <w:proofErr w:type="spellStart"/>
      <w:r w:rsidR="00940535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БелАвтодеталь</w:t>
      </w:r>
      <w:proofErr w:type="spellEnd"/>
      <w:r w:rsidR="00940535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 является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АО «АВТОВАЗ», также предприятие входит в мебельный кластер, созданный на базе предприяти</w:t>
      </w:r>
      <w:r w:rsidR="00167204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ООО «Корона» в г</w:t>
      </w:r>
      <w:proofErr w:type="gram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.Т</w:t>
      </w:r>
      <w:proofErr w:type="gram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уймазы.</w:t>
      </w:r>
    </w:p>
    <w:p w:rsidR="00AF54C0" w:rsidRPr="00C86443" w:rsidRDefault="00AF54C0" w:rsidP="00545875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Исходя из сложившихся условий на АО «АВТОВАЗ» (остановка конвейера, влияние западной </w:t>
      </w:r>
      <w:proofErr w:type="spell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санкционной</w:t>
      </w:r>
      <w:proofErr w:type="spell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политики на российский рынок </w:t>
      </w:r>
      <w:proofErr w:type="spell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автопрома</w:t>
      </w:r>
      <w:proofErr w:type="spell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) в 2022 году предприятием отгружено продукции на 17,5% меньше, чем в 2021 году. </w:t>
      </w:r>
    </w:p>
    <w:p w:rsidR="00AF54C0" w:rsidRPr="00C86443" w:rsidRDefault="00AF54C0" w:rsidP="00545875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2023 году прогнозируется увеличение объемов </w:t>
      </w:r>
      <w:r w:rsidR="00FA40F5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отгрузки продукции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 36,2% в объёме на 39,4 млн. рублей.</w:t>
      </w:r>
    </w:p>
    <w:p w:rsidR="006F0693" w:rsidRPr="00C86443" w:rsidRDefault="006F0693" w:rsidP="005458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АО «Белебеевский молочный комбинат»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202</w:t>
      </w:r>
      <w:r w:rsidR="00AF54C0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году отгрузка молочной продукции в сумме составила 7 млрд. </w:t>
      </w:r>
      <w:r w:rsidR="00AF54C0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052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млн. рублей или </w:t>
      </w:r>
      <w:r w:rsidR="00AF54C0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96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,2% к 20</w:t>
      </w:r>
      <w:r w:rsidR="00AF54C0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21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году. Доля к общему объему отгруженной продукции </w:t>
      </w:r>
      <w:proofErr w:type="gram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муниципального</w:t>
      </w:r>
      <w:proofErr w:type="gram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района составляет 27,9%.</w:t>
      </w:r>
    </w:p>
    <w:p w:rsidR="006F0693" w:rsidRPr="00C86443" w:rsidRDefault="006F0693" w:rsidP="005458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Стратегической целью </w:t>
      </w:r>
      <w:r w:rsidRPr="00C8644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АО «Белебеевский молочный комбинат»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 прогнозный период является закрепление на рынке России лидирующей позиции по производству твердых сычужных сыров на рынке </w:t>
      </w:r>
      <w:r w:rsidR="00CD6996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России,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получение прибыли, достаточной для перспективного развития предприятия.</w:t>
      </w:r>
    </w:p>
    <w:p w:rsidR="00AF54C0" w:rsidRPr="00C86443" w:rsidRDefault="00AF54C0" w:rsidP="00545875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рамках реализации поставленной цели необходимо решить следующие задачи:</w:t>
      </w:r>
    </w:p>
    <w:p w:rsidR="00AF54C0" w:rsidRPr="00C86443" w:rsidRDefault="00AF54C0" w:rsidP="00545875">
      <w:pPr>
        <w:pStyle w:val="a6"/>
        <w:numPr>
          <w:ilvl w:val="0"/>
          <w:numId w:val="37"/>
        </w:numPr>
        <w:tabs>
          <w:tab w:val="num" w:pos="426"/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/>
          <w:sz w:val="24"/>
          <w:szCs w:val="24"/>
          <w:shd w:val="clear" w:color="auto" w:fill="FFFFFF"/>
        </w:rPr>
        <w:t>ежегодно увеличивать переработку молочного сырья;</w:t>
      </w:r>
    </w:p>
    <w:p w:rsidR="00AF54C0" w:rsidRPr="00C86443" w:rsidRDefault="00AF54C0" w:rsidP="00545875">
      <w:pPr>
        <w:pStyle w:val="a6"/>
        <w:numPr>
          <w:ilvl w:val="0"/>
          <w:numId w:val="37"/>
        </w:numPr>
        <w:tabs>
          <w:tab w:val="num" w:pos="426"/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/>
          <w:sz w:val="24"/>
          <w:szCs w:val="24"/>
          <w:shd w:val="clear" w:color="auto" w:fill="FFFFFF"/>
        </w:rPr>
        <w:t>продолжать работу по укреплению сырьевой зоны;</w:t>
      </w:r>
    </w:p>
    <w:p w:rsidR="00AF54C0" w:rsidRPr="00C86443" w:rsidRDefault="00AF54C0" w:rsidP="00545875">
      <w:pPr>
        <w:pStyle w:val="a6"/>
        <w:numPr>
          <w:ilvl w:val="0"/>
          <w:numId w:val="37"/>
        </w:numPr>
        <w:tabs>
          <w:tab w:val="num" w:pos="426"/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/>
          <w:sz w:val="24"/>
          <w:szCs w:val="24"/>
          <w:shd w:val="clear" w:color="auto" w:fill="FFFFFF"/>
        </w:rPr>
        <w:t>продолжать работу по выводу на рынок твердых сыров повышенной ценовой категории;</w:t>
      </w:r>
    </w:p>
    <w:p w:rsidR="00AF54C0" w:rsidRPr="00C86443" w:rsidRDefault="00940535" w:rsidP="00545875">
      <w:pPr>
        <w:pStyle w:val="a6"/>
        <w:numPr>
          <w:ilvl w:val="0"/>
          <w:numId w:val="37"/>
        </w:numPr>
        <w:tabs>
          <w:tab w:val="num" w:pos="426"/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/>
          <w:sz w:val="24"/>
          <w:szCs w:val="24"/>
          <w:shd w:val="clear" w:color="auto" w:fill="FFFFFF"/>
        </w:rPr>
        <w:t>провести запуск</w:t>
      </w:r>
      <w:r w:rsidR="00AF54C0" w:rsidRPr="00C8644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нового цеха мягких сыров, который планируется к вводу в эксплуатацию в </w:t>
      </w:r>
      <w:proofErr w:type="gramStart"/>
      <w:r w:rsidR="00AF54C0" w:rsidRPr="00C86443">
        <w:rPr>
          <w:rFonts w:ascii="Times New Roman" w:eastAsia="Times New Roman" w:hAnsi="Times New Roman"/>
          <w:sz w:val="24"/>
          <w:szCs w:val="24"/>
          <w:shd w:val="clear" w:color="auto" w:fill="FFFFFF"/>
        </w:rPr>
        <w:t>конце</w:t>
      </w:r>
      <w:proofErr w:type="gramEnd"/>
      <w:r w:rsidR="00AF54C0" w:rsidRPr="00C8644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2024 года.</w:t>
      </w:r>
    </w:p>
    <w:p w:rsidR="00AF54C0" w:rsidRPr="00C86443" w:rsidRDefault="00AF54C0" w:rsidP="00545875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настоящее время ассортиментная линейка </w:t>
      </w:r>
      <w:proofErr w:type="gram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продукции, вырабатываемой на комбинате состоит</w:t>
      </w:r>
      <w:proofErr w:type="gram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из 4 ассортиментных групп. Это масло животное, сыры сычужные, мягкие сыры, сухие молочные продукты. </w:t>
      </w:r>
      <w:r w:rsidR="00940535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Приоритетным направлением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производственной деятельности комбината (более 75 % от объема выпускаемой продукции) было и остается – изготовление твердых сычужных сыров. Ассортимент сыров состоит из 10 наименований, в 2023 году на рынок был выведен новый вид </w:t>
      </w:r>
      <w:r w:rsidR="00940535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сыров -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«Легкий». </w:t>
      </w:r>
    </w:p>
    <w:p w:rsidR="00AF54C0" w:rsidRPr="00C86443" w:rsidRDefault="00AF54C0" w:rsidP="00545875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2023 году началась активная фаза строительства цеха мягких сыров. </w:t>
      </w:r>
      <w:proofErr w:type="gram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Инвестиционная привлекательность проекта обеспечивается установкой оборудования, которое обеспечивает увеличение эффективности производства на основе автоматизации производственного процесса, расширением ассортимента – освоение производства мягких сыров до 3000 тонн/год, </w:t>
      </w:r>
      <w:proofErr w:type="spell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импортозамещением</w:t>
      </w:r>
      <w:proofErr w:type="spell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повышением конкурентоспособности молочной продукции на российском продовольственном рынке. </w:t>
      </w:r>
      <w:proofErr w:type="gramEnd"/>
    </w:p>
    <w:p w:rsidR="00AF54C0" w:rsidRPr="00C86443" w:rsidRDefault="00AF54C0" w:rsidP="00545875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Проект носит инновационную направленность и позволяет за счет использования существующей производственной инфраструктуры и коллектива специалистов, имеющих значительный опыт производства сыра, обеспечить прирост объемов производства продукции мягких сыров.</w:t>
      </w:r>
      <w:proofErr w:type="gramEnd"/>
    </w:p>
    <w:p w:rsidR="00AF54C0" w:rsidRPr="00C86443" w:rsidRDefault="00AF54C0" w:rsidP="00545875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Оборудование, установленное в сыродельном </w:t>
      </w:r>
      <w:proofErr w:type="gram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цехе</w:t>
      </w:r>
      <w:proofErr w:type="gram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позволяет вырабатывать сыры брусковые и круглые. Производство сыров твердых, начиная с 2001 года, постоянно наращивается. Увеличение объемов производства сыров положительно отражается на производстве сухих молочных продуктов.</w:t>
      </w:r>
    </w:p>
    <w:p w:rsidR="00AF54C0" w:rsidRPr="00C86443" w:rsidRDefault="00AF54C0" w:rsidP="00545875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2013 году был введен в эксплуатацию цех нарезки и фасовки сыров, теперь в торговые сети поступает сыр с логотипом комбината, что делает его узнаваемым. К тому фасовка на комбинате увеличивает сроки хранения продукции в торговой сети. </w:t>
      </w:r>
    </w:p>
    <w:p w:rsidR="00AF54C0" w:rsidRPr="00C86443" w:rsidRDefault="00AF54C0" w:rsidP="00545875">
      <w:pPr>
        <w:pStyle w:val="a4"/>
        <w:ind w:right="-2" w:firstLine="709"/>
        <w:jc w:val="both"/>
        <w:rPr>
          <w:sz w:val="24"/>
          <w:shd w:val="clear" w:color="auto" w:fill="FFFFFF"/>
        </w:rPr>
      </w:pPr>
      <w:r w:rsidRPr="00C86443">
        <w:rPr>
          <w:sz w:val="24"/>
          <w:shd w:val="clear" w:color="auto" w:fill="FFFFFF"/>
        </w:rPr>
        <w:t xml:space="preserve">Масло животное, производимое на комбинате, традиционно </w:t>
      </w:r>
      <w:proofErr w:type="gramStart"/>
      <w:r w:rsidRPr="00C86443">
        <w:rPr>
          <w:sz w:val="24"/>
          <w:shd w:val="clear" w:color="auto" w:fill="FFFFFF"/>
        </w:rPr>
        <w:t>отличается отменным качеством и уверенно занимает</w:t>
      </w:r>
      <w:proofErr w:type="gramEnd"/>
      <w:r w:rsidRPr="00C86443">
        <w:rPr>
          <w:sz w:val="24"/>
          <w:shd w:val="clear" w:color="auto" w:fill="FFFFFF"/>
        </w:rPr>
        <w:t xml:space="preserve"> свою товарную нишу, что позволяет удерживать стабильный уровень производства в течение ряда лет. В 2010 году ассортимент масла животного пополнился двумя новинками, маслоделы освоили производство масла традиционного с более высоким содержанием жира, чем в крестьянском масле и масло бутербродное, с более низким содержанием жира, чем в крестьянском масле. Это позволяет удовлетворять разнообразные потребности покупателей. </w:t>
      </w:r>
    </w:p>
    <w:p w:rsidR="00AF54C0" w:rsidRPr="00C86443" w:rsidRDefault="00AF54C0" w:rsidP="00545875">
      <w:pPr>
        <w:pStyle w:val="a4"/>
        <w:ind w:right="-2" w:firstLine="709"/>
        <w:jc w:val="both"/>
        <w:rPr>
          <w:sz w:val="24"/>
          <w:shd w:val="clear" w:color="auto" w:fill="FFFFFF"/>
        </w:rPr>
      </w:pPr>
      <w:r w:rsidRPr="00C86443">
        <w:rPr>
          <w:sz w:val="24"/>
          <w:shd w:val="clear" w:color="auto" w:fill="FFFFFF"/>
        </w:rPr>
        <w:t>Работниками отдела сбыта ведется постоянная работа по изучению спроса населения. Продукция комбината пользуется спросом у торговых предприятий, который особенно возрастает в осеннее – зимний период.</w:t>
      </w:r>
    </w:p>
    <w:p w:rsidR="00AF54C0" w:rsidRPr="00C86443" w:rsidRDefault="00AF54C0" w:rsidP="00545875">
      <w:pPr>
        <w:pStyle w:val="a4"/>
        <w:ind w:right="-2" w:firstLine="709"/>
        <w:jc w:val="both"/>
        <w:rPr>
          <w:sz w:val="24"/>
          <w:shd w:val="clear" w:color="auto" w:fill="FFFFFF"/>
        </w:rPr>
      </w:pPr>
      <w:r w:rsidRPr="00C86443">
        <w:rPr>
          <w:sz w:val="24"/>
          <w:shd w:val="clear" w:color="auto" w:fill="FFFFFF"/>
        </w:rPr>
        <w:t xml:space="preserve">Предприятием ведётся регулярное расширение пунктов сбора молока в Республике Башкортостан, а также в Республике Татарстан, Оренбургской, Ульяновской областях, Удмуртии и других территориях Российской Федерации. </w:t>
      </w:r>
    </w:p>
    <w:p w:rsidR="00E11269" w:rsidRPr="00C86443" w:rsidRDefault="00E11269" w:rsidP="00E11269">
      <w:pPr>
        <w:tabs>
          <w:tab w:val="left" w:pos="4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В июле 2023 года АО "Белебеевский ордена «Знак Почета» молочный комбинат» экспортировал в Сербию 19 тонн сливочного масла жирностью 82,5%.</w:t>
      </w:r>
    </w:p>
    <w:p w:rsidR="00AF54C0" w:rsidRPr="00C86443" w:rsidRDefault="00AF54C0" w:rsidP="00E11269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2005 году комбинатом получено заключение о соответствии продукции международным стандартам. АО «Белебеевский молочный комбинат» стал вторым в Республике Башкортостан предприятием молочной промышленности, </w:t>
      </w:r>
      <w:r w:rsidR="00E11269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прошедшим сертификацию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 ИСО 9001 – 2001. </w:t>
      </w:r>
    </w:p>
    <w:p w:rsidR="00AF54C0" w:rsidRPr="00C86443" w:rsidRDefault="00AF54C0" w:rsidP="00545875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2010 году на комбинате внедрена система менеджмента безопасности продукции. Основная цель системы ХАССП – предотвращение, контроль и устранение опасных факторов, которые угрожают безопасности продуктов питания на всем протяжении их жизненного цикла от момента получения сырья до реализации готового продукта потребителю.</w:t>
      </w:r>
    </w:p>
    <w:p w:rsidR="006F0693" w:rsidRPr="00C86443" w:rsidRDefault="006F0693" w:rsidP="00545875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ОАО «Керамика»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работающее по виду деятельности «производство прочих неметаллических минеральных продуктов», представляет собой завод по выпуску керамического пустотелого кирпича методом пластического формирования на вакуумном прессе. </w:t>
      </w:r>
    </w:p>
    <w:p w:rsidR="006F0693" w:rsidRPr="00C86443" w:rsidRDefault="006F0693" w:rsidP="005458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Основной продукцией является высококачественный керамический пустотелый кирпич, выпускаемый по ГОСТ 530-2012 и ТУ 5741-003-22644063-2008:</w:t>
      </w:r>
    </w:p>
    <w:p w:rsidR="00983436" w:rsidRPr="00C86443" w:rsidRDefault="006F0693" w:rsidP="00545875">
      <w:pPr>
        <w:pStyle w:val="a6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86443">
        <w:rPr>
          <w:rFonts w:ascii="Times New Roman" w:hAnsi="Times New Roman"/>
          <w:sz w:val="24"/>
          <w:szCs w:val="24"/>
          <w:shd w:val="clear" w:color="auto" w:fill="FFFFFF"/>
        </w:rPr>
        <w:t>по формату – (1НФ) одинарный, (1,4 НФ) утолщенный, (07 НФ, 9НФ) «эконом»</w:t>
      </w:r>
      <w:r w:rsidR="00983436" w:rsidRPr="00C86443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983436" w:rsidRPr="00C86443" w:rsidRDefault="006F0693" w:rsidP="00545875">
      <w:pPr>
        <w:pStyle w:val="a6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C86443">
        <w:rPr>
          <w:rFonts w:ascii="Times New Roman" w:hAnsi="Times New Roman"/>
          <w:sz w:val="24"/>
          <w:szCs w:val="24"/>
          <w:shd w:val="clear" w:color="auto" w:fill="FFFFFF"/>
        </w:rPr>
        <w:t>по цветовым гаммам – красный, белый, «абрикос», «солома», «имбирь», «шоколад», «</w:t>
      </w:r>
      <w:proofErr w:type="spellStart"/>
      <w:r w:rsidRPr="00C86443">
        <w:rPr>
          <w:rFonts w:ascii="Times New Roman" w:hAnsi="Times New Roman"/>
          <w:sz w:val="24"/>
          <w:szCs w:val="24"/>
          <w:shd w:val="clear" w:color="auto" w:fill="FFFFFF"/>
        </w:rPr>
        <w:t>латте</w:t>
      </w:r>
      <w:proofErr w:type="spellEnd"/>
      <w:r w:rsidRPr="00C86443">
        <w:rPr>
          <w:rFonts w:ascii="Times New Roman" w:hAnsi="Times New Roman"/>
          <w:sz w:val="24"/>
          <w:szCs w:val="24"/>
          <w:shd w:val="clear" w:color="auto" w:fill="FFFFFF"/>
        </w:rPr>
        <w:t>», «мокко», «крема»,</w:t>
      </w:r>
      <w:r w:rsidR="00D53FC2" w:rsidRPr="00C86443">
        <w:rPr>
          <w:rFonts w:ascii="Times New Roman" w:hAnsi="Times New Roman"/>
          <w:sz w:val="24"/>
          <w:szCs w:val="24"/>
          <w:shd w:val="clear" w:color="auto" w:fill="FFFFFF"/>
        </w:rPr>
        <w:t xml:space="preserve"> освоен</w:t>
      </w:r>
      <w:r w:rsidRPr="00C86443">
        <w:rPr>
          <w:rFonts w:ascii="Times New Roman" w:hAnsi="Times New Roman"/>
          <w:sz w:val="24"/>
          <w:szCs w:val="24"/>
          <w:shd w:val="clear" w:color="auto" w:fill="FFFFFF"/>
        </w:rPr>
        <w:t xml:space="preserve"> выпуск кирпича по технологии </w:t>
      </w:r>
      <w:proofErr w:type="spellStart"/>
      <w:r w:rsidRPr="00C86443">
        <w:rPr>
          <w:rFonts w:ascii="Times New Roman" w:hAnsi="Times New Roman"/>
          <w:sz w:val="24"/>
          <w:szCs w:val="24"/>
          <w:shd w:val="clear" w:color="auto" w:fill="FFFFFF"/>
        </w:rPr>
        <w:t>флеш-обжиг</w:t>
      </w:r>
      <w:proofErr w:type="spellEnd"/>
      <w:r w:rsidRPr="00C86443">
        <w:rPr>
          <w:rFonts w:ascii="Times New Roman" w:hAnsi="Times New Roman"/>
          <w:sz w:val="24"/>
          <w:szCs w:val="24"/>
          <w:shd w:val="clear" w:color="auto" w:fill="FFFFFF"/>
        </w:rPr>
        <w:t>;</w:t>
      </w:r>
      <w:proofErr w:type="gramEnd"/>
    </w:p>
    <w:p w:rsidR="00983436" w:rsidRPr="00C86443" w:rsidRDefault="006F0693" w:rsidP="00545875">
      <w:pPr>
        <w:pStyle w:val="a6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86443">
        <w:rPr>
          <w:rFonts w:ascii="Times New Roman" w:hAnsi="Times New Roman"/>
          <w:sz w:val="24"/>
          <w:szCs w:val="24"/>
          <w:shd w:val="clear" w:color="auto" w:fill="FFFFFF"/>
        </w:rPr>
        <w:t xml:space="preserve">по назначению в конструкциях – рядовой, лицевой, 7 видов </w:t>
      </w:r>
      <w:proofErr w:type="gramStart"/>
      <w:r w:rsidRPr="00C86443">
        <w:rPr>
          <w:rFonts w:ascii="Times New Roman" w:hAnsi="Times New Roman"/>
          <w:sz w:val="24"/>
          <w:szCs w:val="24"/>
          <w:shd w:val="clear" w:color="auto" w:fill="FFFFFF"/>
        </w:rPr>
        <w:t>фигурного</w:t>
      </w:r>
      <w:proofErr w:type="gramEnd"/>
      <w:r w:rsidRPr="00C86443">
        <w:rPr>
          <w:rFonts w:ascii="Times New Roman" w:hAnsi="Times New Roman"/>
          <w:sz w:val="24"/>
          <w:szCs w:val="24"/>
          <w:shd w:val="clear" w:color="auto" w:fill="FFFFFF"/>
        </w:rPr>
        <w:t>, 1 вид заборного;</w:t>
      </w:r>
    </w:p>
    <w:p w:rsidR="006F0693" w:rsidRPr="00C86443" w:rsidRDefault="006F0693" w:rsidP="00545875">
      <w:pPr>
        <w:pStyle w:val="a6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C86443">
        <w:rPr>
          <w:rFonts w:ascii="Times New Roman" w:hAnsi="Times New Roman"/>
          <w:sz w:val="24"/>
          <w:szCs w:val="24"/>
          <w:shd w:val="clear" w:color="auto" w:fill="FFFFFF"/>
        </w:rPr>
        <w:t xml:space="preserve">по виду накатки (рифленый) – «ломаный камень», «кора дуба», «орех», «ретро», «ясень», «рустик». </w:t>
      </w:r>
      <w:proofErr w:type="gramEnd"/>
    </w:p>
    <w:p w:rsidR="00D53FC2" w:rsidRPr="00C86443" w:rsidRDefault="006F0693" w:rsidP="00545875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202</w:t>
      </w:r>
      <w:r w:rsidR="00D53FC2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году выпущено </w:t>
      </w:r>
      <w:r w:rsidR="00D53FC2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47,2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млн. штук условного керамического кирпича</w:t>
      </w:r>
      <w:r w:rsidR="00D53FC2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Доля высокомарочной продукции (кирпич марки М-150 и выше) в общем объеме производства составила 98,1% или в количественном выражении – 46,3 млн. штук</w:t>
      </w:r>
      <w:r w:rsidR="00980614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В 2022 году</w:t>
      </w:r>
      <w:r w:rsidR="00D53FC2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 сравнению с 2021</w:t>
      </w:r>
      <w:r w:rsidR="00980614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53FC2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</w:t>
      </w:r>
      <w:r w:rsidR="00980614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одом</w:t>
      </w:r>
      <w:r w:rsidR="00D53FC2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некоторые заводы увеличили объемы выпуска кирпича, в </w:t>
      </w:r>
      <w:r w:rsidR="00980614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связи,</w:t>
      </w:r>
      <w:r w:rsidR="00D53FC2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D53FC2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="00D53FC2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чем доля продукции ОАО «Керамика» в общем объеме производства керамического пустотелого кирпича заводами Башкортостана снизилась с 50,4% в 2021</w:t>
      </w:r>
      <w:r w:rsidR="00980614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53FC2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</w:t>
      </w:r>
      <w:r w:rsidR="00980614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оду</w:t>
      </w:r>
      <w:r w:rsidR="00D53FC2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до 48,9</w:t>
      </w:r>
      <w:r w:rsidR="00940535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</w:t>
      </w:r>
      <w:r w:rsidR="00CD6996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40535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="00D53FC2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0614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53FC2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2022</w:t>
      </w:r>
      <w:r w:rsidR="00CD6996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53FC2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</w:t>
      </w:r>
      <w:r w:rsidR="00980614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оду. </w:t>
      </w:r>
      <w:r w:rsidR="00D53FC2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53FC2" w:rsidRPr="00C86443" w:rsidRDefault="00D53FC2" w:rsidP="00545875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2022 году предприятием отгружено продукции на сумму 843 млн. рублей, или на 12,5% больше, чем в 2021 году. </w:t>
      </w:r>
    </w:p>
    <w:p w:rsidR="00D53FC2" w:rsidRPr="00C86443" w:rsidRDefault="00D53FC2" w:rsidP="00545875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2023 году прогнозируется увеличение объемов отгрузки на 26,1%, планируется произвести продукции на 1 млрд. 63 млн. рублей. </w:t>
      </w:r>
    </w:p>
    <w:p w:rsidR="00D53FC2" w:rsidRPr="00C86443" w:rsidRDefault="00D53FC2" w:rsidP="00545875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Уровень спроса на строительный кирпич во многом зависит от реализации </w:t>
      </w:r>
      <w:proofErr w:type="gram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мер государственной поддержки предприятий строительного комплекса</w:t>
      </w:r>
      <w:proofErr w:type="gram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мер, принимаемых </w:t>
      </w:r>
      <w:r w:rsidR="00980614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равительством </w:t>
      </w:r>
      <w:r w:rsidR="00980614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Российской Федерации 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 стимулированию спроса на жилье.</w:t>
      </w:r>
    </w:p>
    <w:p w:rsidR="00D53FC2" w:rsidRPr="00C86443" w:rsidRDefault="00D53FC2" w:rsidP="00545875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Выпускаемый на предприятии кирпич отличается высокой морозостойкостью: вместо 50 цикло</w:t>
      </w:r>
      <w:r w:rsidR="00E11269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положенных по ГОСТ, выдерживает более 150 циклов попеременного замораживания и оттаивания без признаков разрушений и потерь по прочности.</w:t>
      </w:r>
    </w:p>
    <w:p w:rsidR="00D53FC2" w:rsidRPr="00C86443" w:rsidRDefault="00D53FC2" w:rsidP="00545875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Развитие предприятия по всем направлениям деятельности на среднесрочный и долгосрочный периоды предусматривает сохранение достигнутого уровня производства </w:t>
      </w:r>
      <w:r w:rsidR="00940535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продолжение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целенаправленной работы по оптимизации расходов, достижению более высоких критериев качества производимой продукции, расширению ассортимента кирпича, обеспечению качественного технического обслуживания производственных фондов.  </w:t>
      </w:r>
      <w:proofErr w:type="gramEnd"/>
    </w:p>
    <w:p w:rsidR="00D53FC2" w:rsidRPr="00C86443" w:rsidRDefault="00980614" w:rsidP="00545875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 </w:t>
      </w:r>
      <w:proofErr w:type="spell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ресурсоснабжающем</w:t>
      </w:r>
      <w:proofErr w:type="spell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предприятии </w:t>
      </w:r>
      <w:r w:rsidRPr="00C8644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ООО «Белебеевский водоканал»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планируемом периоде ожидается незначительное снижение объёмов реализации предоставляемых услуг по всем группам потребителей. Основным потребителем услуг </w:t>
      </w:r>
      <w:proofErr w:type="gram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является население и составляет</w:t>
      </w:r>
      <w:proofErr w:type="gram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85% от общего объёма реализации.  На предприятии ежегодно проводятся мероприятия, направленные на снижение затрат: внедрение энергосберегающего оборудования, отказ от центрального отопления и строительство собственных газовых </w:t>
      </w:r>
      <w:proofErr w:type="spell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миникотельных</w:t>
      </w:r>
      <w:proofErr w:type="spell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6F0693" w:rsidRPr="00C86443" w:rsidRDefault="006F0693" w:rsidP="005458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ООО «</w:t>
      </w:r>
      <w:proofErr w:type="spellStart"/>
      <w:r w:rsidRPr="00C8644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Теплоэнерго</w:t>
      </w:r>
      <w:proofErr w:type="spellEnd"/>
      <w:r w:rsidRPr="00C8644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организовано и зарегистрировано</w:t>
      </w:r>
      <w:proofErr w:type="gram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17 июня 2005 года на базе котельной завода «</w:t>
      </w:r>
      <w:proofErr w:type="spell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Автонормаль</w:t>
      </w:r>
      <w:proofErr w:type="spell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 с целью создания достоверной базы данных и ускорения расчётов за поставленную тепловую энергию потребителям, подключенным к котельной.</w:t>
      </w:r>
    </w:p>
    <w:p w:rsidR="006F0693" w:rsidRPr="00C86443" w:rsidRDefault="006F0693" w:rsidP="005458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 декабря 2013 года ООО «</w:t>
      </w:r>
      <w:proofErr w:type="spell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Теплоэнерго</w:t>
      </w:r>
      <w:proofErr w:type="spell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является участником Национального реестра «Ведущие организации жилищно-коммунального хозяйства России». По результатам 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построенного экономического рейтинга, организация заняла 17 место в Приволжском Федеральном округе, 70 место в общероссийском рейтинге и получила статус «Предприятие года 2013».</w:t>
      </w:r>
    </w:p>
    <w:p w:rsidR="00980614" w:rsidRPr="00C86443" w:rsidRDefault="00980614" w:rsidP="00545875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 сегодняшний день общество эксплуатирует в системе централизованного теплоснабжения 55 котельных, в том </w:t>
      </w:r>
      <w:r w:rsidR="00E11269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числе 31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котельная, отапливающая школы и детские сады управления образования и 10 котельных, отапливающих прочие объекты, 11 ЦТП, около 100 км сетей отопления и горячего водоснабжения. </w:t>
      </w:r>
    </w:p>
    <w:p w:rsidR="00A7141E" w:rsidRPr="00C86443" w:rsidRDefault="00980614" w:rsidP="00545875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Наблюдается увеличение объемов выработки тепловой энергии в 2022 году на 4,3% или на 18,8 млн. рублей в сравнении с 2021 годом. В планируемом периоде </w:t>
      </w:r>
      <w:r w:rsidR="00E11269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ожидается увеличение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объема реализации предоставляемых услуг на 5,5%. </w:t>
      </w:r>
    </w:p>
    <w:p w:rsidR="00731B40" w:rsidRPr="00C86443" w:rsidRDefault="00731B40" w:rsidP="00545875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текущем году проведена реконструкция котельной №16 в </w:t>
      </w:r>
      <w:r w:rsidR="00CD6996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с. Аксаково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Реализация данного мероприятия проведена в рамках инвестиционной программы, в которой был предусмотрен демонтаж существующей котельной (1958 года постройки), монтаж новой блочной котельной мощностью 6 МВт. </w:t>
      </w:r>
      <w:proofErr w:type="gramEnd"/>
    </w:p>
    <w:p w:rsidR="00456120" w:rsidRPr="00C86443" w:rsidRDefault="00980614" w:rsidP="00545875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Учитывая существующие тенденции развития отраслей экономики, ожидается увеличение объемов отгрузки предприятий промышленного комплекса по полному кругу предприятий в 2023 году до уровня 103,1%. В 2024 году планируется снижение объемов отгрузки</w:t>
      </w:r>
      <w:r w:rsidR="00456120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предприятий промышленного комплекса</w:t>
      </w:r>
      <w:r w:rsidR="00B060A6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</w:t>
      </w:r>
      <w:r w:rsidR="00456120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крупным и средним</w:t>
      </w:r>
      <w:r w:rsidR="00B060A6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организациям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до 96,6% в базовом варианте, данное снижение связано с </w:t>
      </w:r>
      <w:r w:rsidR="00C5257F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планируемым объединением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дочерней компании ООО «</w:t>
      </w:r>
      <w:proofErr w:type="spell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БелзанМЕТ</w:t>
      </w:r>
      <w:proofErr w:type="spell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 с АО «</w:t>
      </w:r>
      <w:proofErr w:type="spell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БелЗАН</w:t>
      </w:r>
      <w:proofErr w:type="spell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», с учетом основных направлений</w:t>
      </w:r>
      <w:proofErr w:type="gram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предусмотренных в Стратегии развития АО «</w:t>
      </w:r>
      <w:proofErr w:type="spell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БелЗАН</w:t>
      </w:r>
      <w:proofErr w:type="spell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», и как следствие, оптимизацией некоторых технологических процессов. </w:t>
      </w:r>
    </w:p>
    <w:p w:rsidR="00980614" w:rsidRPr="00C86443" w:rsidRDefault="00980614" w:rsidP="00545875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последующие </w:t>
      </w:r>
      <w:r w:rsidR="00C5257F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годы прогнозируется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планомерный рост производства продукции к предшествующему периоду в базовом варианте 2025 года на 2,4%, в 2026 году на 1,8%. </w:t>
      </w:r>
    </w:p>
    <w:p w:rsidR="00B060A6" w:rsidRPr="00C86443" w:rsidRDefault="00B060A6" w:rsidP="00545875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консервативном варианте прогноза с учетом возможного сохранения действующего </w:t>
      </w:r>
      <w:proofErr w:type="spell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санкционного</w:t>
      </w:r>
      <w:proofErr w:type="spell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режима, сокращения объемов добычи нефти, снижения деловой активности предприятий, в 2024 году планируется снижение объемов отгрузки предприятий промышленного комплекса по крупным и средним организациям до 96,</w:t>
      </w:r>
      <w:r w:rsidR="00BC3731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</w:t>
      </w:r>
      <w:r w:rsidR="00BC3731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в 2025</w:t>
      </w:r>
      <w:r w:rsidR="006E39C6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году</w:t>
      </w:r>
      <w:r w:rsidR="00BC3731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E39C6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прогнозируется рост на 2,2</w:t>
      </w:r>
      <w:r w:rsidR="00C5257F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%,</w:t>
      </w:r>
      <w:r w:rsidR="006E39C6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2026 </w:t>
      </w:r>
      <w:r w:rsidR="00C5257F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году -</w:t>
      </w:r>
      <w:r w:rsidR="006E39C6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на 1</w:t>
      </w:r>
      <w:r w:rsidR="00CD6996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,0</w:t>
      </w:r>
      <w:r w:rsidR="006E39C6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%.  </w:t>
      </w:r>
      <w:proofErr w:type="gramEnd"/>
    </w:p>
    <w:p w:rsidR="00256556" w:rsidRPr="00C86443" w:rsidRDefault="00256556" w:rsidP="00545875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11D71" w:rsidRPr="00C86443" w:rsidRDefault="00256556" w:rsidP="00CD6996">
      <w:pPr>
        <w:pStyle w:val="a4"/>
        <w:spacing w:before="120" w:after="120"/>
        <w:ind w:firstLine="709"/>
        <w:jc w:val="center"/>
        <w:rPr>
          <w:sz w:val="24"/>
        </w:rPr>
      </w:pPr>
      <w:r w:rsidRPr="00C86443">
        <w:rPr>
          <w:sz w:val="24"/>
        </w:rPr>
        <w:t>Потребительский рынок</w:t>
      </w:r>
    </w:p>
    <w:p w:rsidR="00256556" w:rsidRPr="00C86443" w:rsidRDefault="00256556" w:rsidP="00256556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 состоянию на 01.01.2023г. на территории муниципального района Белебеевский район функционирует 906 предприятий торговли и питания. Объем розничного товарооборота по муниципальному району за 2022г. составил 15907,14 млн. руб. или 95,2% в сопоставимых </w:t>
      </w:r>
      <w:proofErr w:type="gram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ценах</w:t>
      </w:r>
      <w:proofErr w:type="gram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 уровню 2021г. Оборот предприятий общественного питания – 413,88 млн. руб. или 103,0 % в сопоставимых </w:t>
      </w:r>
      <w:proofErr w:type="gram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ценах</w:t>
      </w:r>
      <w:proofErr w:type="gram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 уровню 2021 года.</w:t>
      </w:r>
    </w:p>
    <w:p w:rsidR="00256556" w:rsidRPr="00C86443" w:rsidRDefault="00256556" w:rsidP="00256556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Экономическая ситуация на потребительском рынке характеризуется сбалансированностью спроса и предложения товаров. Инфраструктура сферы торговли продолжает развиваться, строятся новые объекты, происходит модернизация существующих</w:t>
      </w:r>
      <w:r w:rsidR="00CD6996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объектов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Так, по итогам 2022 года инвестиции в основной капитал по виду деятельности розничная торговля по муниципальному району составили 107,0 млн. руб. или 178,3 % к планируемым вложениям. Введено в эксплуатацию 5 новых объектов торговой отрасли. За счет открытия новых и модернизации действующих предприятий увеличение торговых площадей составило 2036,6 кв.м., создано 35 рабочих места. В результате, обеспеченность населения площадями торговых объектов по итогам года составила 992,4 кв. метров на 1000 человек населения, что на 101,7 % выше норматива. Тенденция к увеличению количества торговых предприятий ожидается и в дальнейшие годы.</w:t>
      </w:r>
    </w:p>
    <w:p w:rsidR="00256556" w:rsidRPr="00C86443" w:rsidRDefault="00256556" w:rsidP="00256556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настоящее время ведется строительство 7 объектов торговли. Общая площадь строительства составляет около 3300 кв. метров. С начала строительства освоено средств на сумму 25 млн. рублей.</w:t>
      </w:r>
    </w:p>
    <w:p w:rsidR="00256556" w:rsidRPr="00C86443" w:rsidRDefault="00256556" w:rsidP="00256556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территории муниципалитета работают 2 сельскохозяйственных рынка, на которых организовано 412 торговых места, из них не менее 60 % мест от общего числа предназначаются сельхозпроизводителям для реализации продукции собственного производства. Уровень использования торговых мест на рынках составляет около 50</w:t>
      </w:r>
      <w:r w:rsidR="00CD6996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%. На потребительском рынке 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активно развивается сетевая торговля.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Сегодня в муниципальном районе функционируют более 30 сетевых компаний федеральных и региональных сетей. </w:t>
      </w:r>
    </w:p>
    <w:p w:rsidR="00256556" w:rsidRPr="00C86443" w:rsidRDefault="00256556" w:rsidP="00256556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Развитие крупных сетевых предприятий торговли положительно влияет на состояние потребительского рынка, удовлетворение растущего покупательского спроса, уровень культуры обслуживания населения. Несомненно, с приходом сетевых компаний существенно повысилось качество торгового обслуживания населения, значительно вырос уровень конкуренции на потребительском рынке. </w:t>
      </w:r>
    </w:p>
    <w:p w:rsidR="00256556" w:rsidRPr="00C86443" w:rsidRDefault="00256556" w:rsidP="00256556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Продолжают свое развитие и предприятия шаговой </w:t>
      </w:r>
      <w:r w:rsidR="00C5257F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доступности, расположенные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внутри микрорайонов, жилых кварталов.</w:t>
      </w:r>
    </w:p>
    <w:p w:rsidR="00256556" w:rsidRPr="00C86443" w:rsidRDefault="00AB6B92" w:rsidP="00256556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C5257F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торговой отрасли района</w:t>
      </w:r>
      <w:r w:rsidR="00256556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продолжают совершенствоваться  формы  обслуживания покупателей,  </w:t>
      </w:r>
      <w:proofErr w:type="gramStart"/>
      <w:r w:rsidR="00256556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расширяется  количество  и  повышается</w:t>
      </w:r>
      <w:proofErr w:type="gramEnd"/>
      <w:r w:rsidR="00256556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качество  предоставляемых  населению  дополнительных  услуг. </w:t>
      </w:r>
    </w:p>
    <w:p w:rsidR="00256556" w:rsidRPr="00C86443" w:rsidRDefault="00256556" w:rsidP="00256556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Для оказания содействия в продвижении продукции республиканских товаропроизводителей, для повышения экономической и физической доступности для потребителей товаров и услуг, расширения каналов сбыта продукции сельскохозяйственных производителей на территории муниципального района определены места для размещения нестационарных сезонных объектов торговли, утвержденные </w:t>
      </w:r>
      <w:r w:rsidR="00CD6996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хемой размещения нестационарных торговых объектов (объектов по оказанию услуг).</w:t>
      </w:r>
      <w:proofErr w:type="gram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Так, в </w:t>
      </w:r>
      <w:r w:rsidR="00CD6996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хему нестационарных торговых объектов внесено 287 торговых мест, где реализация товаров в данных точках производится по сниженным ценам.</w:t>
      </w:r>
    </w:p>
    <w:p w:rsidR="00256556" w:rsidRPr="00C86443" w:rsidRDefault="00256556" w:rsidP="00256556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Кроме того, для более полного удовлетворения потребностей населения в сельскохозяйственной продукции на территории муниципального района определены и функционируют 2 площадки в г. Белебей для проведения круглогодичных ярмарок с расширенной реализацией сельскохозяйственной продукции и 1 площадка в р.п. Приютово для проведения ярмарок выходного дня. Так, в течение 2022г. было проведено 208 сельскохозяйственных ярмарок с предоставлением более 250 торговых мест. В проводимых ярмарках приняли участие </w:t>
      </w:r>
      <w:proofErr w:type="spell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товар</w:t>
      </w:r>
      <w:proofErr w:type="gram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</w:t>
      </w:r>
      <w:proofErr w:type="spell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сельхозпроизводители, КФХ Белебеевского и соседних районов.</w:t>
      </w:r>
    </w:p>
    <w:p w:rsidR="00256556" w:rsidRPr="00C86443" w:rsidRDefault="00256556" w:rsidP="00256556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Планируется, что данная тенденция сохранится и в последующие годы: местные и республиканские товаропроизводители будут не только стабильно работать, </w:t>
      </w:r>
      <w:r w:rsidR="00620763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 и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расширять ассортимент выпускаемой продукции.</w:t>
      </w:r>
    </w:p>
    <w:p w:rsidR="00256556" w:rsidRPr="00C86443" w:rsidRDefault="00256556" w:rsidP="00256556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Последующий рост товарооборота ожидается за счёт: </w:t>
      </w:r>
    </w:p>
    <w:p w:rsidR="00CD6996" w:rsidRPr="00C86443" w:rsidRDefault="00256556" w:rsidP="00CD6996">
      <w:pPr>
        <w:pStyle w:val="a6"/>
        <w:numPr>
          <w:ilvl w:val="0"/>
          <w:numId w:val="38"/>
        </w:numPr>
        <w:tabs>
          <w:tab w:val="num" w:pos="426"/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/>
          <w:sz w:val="24"/>
          <w:szCs w:val="24"/>
          <w:shd w:val="clear" w:color="auto" w:fill="FFFFFF"/>
        </w:rPr>
        <w:t>дальнейшего формирования торговой инфраструктуры муниципального района с учетом видов, типов торговых объектов, форм и способов торговли, потребностей населения;</w:t>
      </w:r>
    </w:p>
    <w:p w:rsidR="00CD6996" w:rsidRPr="00C86443" w:rsidRDefault="00256556" w:rsidP="00CD6996">
      <w:pPr>
        <w:pStyle w:val="a6"/>
        <w:numPr>
          <w:ilvl w:val="0"/>
          <w:numId w:val="38"/>
        </w:numPr>
        <w:tabs>
          <w:tab w:val="num" w:pos="426"/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/>
          <w:sz w:val="24"/>
          <w:szCs w:val="24"/>
          <w:shd w:val="clear" w:color="auto" w:fill="FFFFFF"/>
        </w:rPr>
        <w:t>повышения социальной направленности развития сферы торговли и общественного питания;</w:t>
      </w:r>
    </w:p>
    <w:p w:rsidR="00CD6996" w:rsidRPr="00C86443" w:rsidRDefault="00256556" w:rsidP="00CD6996">
      <w:pPr>
        <w:pStyle w:val="a6"/>
        <w:numPr>
          <w:ilvl w:val="0"/>
          <w:numId w:val="38"/>
        </w:numPr>
        <w:tabs>
          <w:tab w:val="num" w:pos="426"/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proofErr w:type="gramStart"/>
      <w:r w:rsidRPr="00C86443">
        <w:rPr>
          <w:rFonts w:ascii="Times New Roman" w:eastAsia="Times New Roman" w:hAnsi="Times New Roman"/>
          <w:sz w:val="24"/>
          <w:szCs w:val="24"/>
          <w:shd w:val="clear" w:color="auto" w:fill="FFFFFF"/>
        </w:rPr>
        <w:t>повышения экономической доступности товаров для населения, в том числе через увеличение доли продукции местных производителей, а также расширение каналов их реализации;</w:t>
      </w:r>
      <w:proofErr w:type="gramEnd"/>
    </w:p>
    <w:p w:rsidR="00CD6996" w:rsidRPr="00C86443" w:rsidRDefault="00256556" w:rsidP="00CD6996">
      <w:pPr>
        <w:pStyle w:val="a6"/>
        <w:numPr>
          <w:ilvl w:val="0"/>
          <w:numId w:val="38"/>
        </w:numPr>
        <w:tabs>
          <w:tab w:val="num" w:pos="426"/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/>
          <w:sz w:val="24"/>
          <w:szCs w:val="24"/>
          <w:shd w:val="clear" w:color="auto" w:fill="FFFFFF"/>
        </w:rPr>
        <w:t>продолжения работы по повышению технического уровня предприятий торговли и общественного питания; строительства новых, реконструкции и модернизации действующих объектов отрасли в соответствии с требованиями нормативных документов и научно-техническими достижениями, особенно в сельской местности;</w:t>
      </w:r>
    </w:p>
    <w:p w:rsidR="00CD6996" w:rsidRPr="00C86443" w:rsidRDefault="00256556" w:rsidP="00CD6996">
      <w:pPr>
        <w:pStyle w:val="a6"/>
        <w:numPr>
          <w:ilvl w:val="0"/>
          <w:numId w:val="38"/>
        </w:numPr>
        <w:tabs>
          <w:tab w:val="num" w:pos="426"/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повышения качества торгового обслуживания; </w:t>
      </w:r>
    </w:p>
    <w:p w:rsidR="00CD6996" w:rsidRPr="00C86443" w:rsidRDefault="00256556" w:rsidP="00CD6996">
      <w:pPr>
        <w:pStyle w:val="a6"/>
        <w:numPr>
          <w:ilvl w:val="0"/>
          <w:numId w:val="38"/>
        </w:numPr>
        <w:tabs>
          <w:tab w:val="num" w:pos="426"/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/>
          <w:sz w:val="24"/>
          <w:szCs w:val="24"/>
          <w:shd w:val="clear" w:color="auto" w:fill="FFFFFF"/>
        </w:rPr>
        <w:t>повышения роли оптовой торговли в организации рационального товароснабжения розничной торговли конкурентоспособными товарами широкого потребления, создания современной инфраструктуры оптовой торговли;</w:t>
      </w:r>
    </w:p>
    <w:p w:rsidR="00CD6996" w:rsidRPr="00C86443" w:rsidRDefault="00256556" w:rsidP="00CD6996">
      <w:pPr>
        <w:pStyle w:val="a6"/>
        <w:numPr>
          <w:ilvl w:val="0"/>
          <w:numId w:val="38"/>
        </w:numPr>
        <w:tabs>
          <w:tab w:val="num" w:pos="426"/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proofErr w:type="gramStart"/>
      <w:r w:rsidRPr="00C86443">
        <w:rPr>
          <w:rFonts w:ascii="Times New Roman" w:eastAsia="Times New Roman" w:hAnsi="Times New Roman"/>
          <w:sz w:val="24"/>
          <w:szCs w:val="24"/>
          <w:shd w:val="clear" w:color="auto" w:fill="FFFFFF"/>
        </w:rPr>
        <w:t>создания в жилых кварталах социально ориентированных предприятий, расположенных в радиусе пешеходной доступности и торгующих широким ассортиментом продовольственных и непродовольственных товаров;</w:t>
      </w:r>
      <w:proofErr w:type="gramEnd"/>
    </w:p>
    <w:p w:rsidR="00CD6996" w:rsidRPr="00C86443" w:rsidRDefault="00256556" w:rsidP="00CD6996">
      <w:pPr>
        <w:pStyle w:val="a6"/>
        <w:numPr>
          <w:ilvl w:val="0"/>
          <w:numId w:val="38"/>
        </w:numPr>
        <w:tabs>
          <w:tab w:val="num" w:pos="426"/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дальнейшего развития сети магазинов, торгующих по сниженным ценам (магазины </w:t>
      </w:r>
      <w:proofErr w:type="spellStart"/>
      <w:proofErr w:type="gramStart"/>
      <w:r w:rsidRPr="00C86443">
        <w:rPr>
          <w:rFonts w:ascii="Times New Roman" w:eastAsia="Times New Roman" w:hAnsi="Times New Roman"/>
          <w:sz w:val="24"/>
          <w:szCs w:val="24"/>
          <w:shd w:val="clear" w:color="auto" w:fill="FFFFFF"/>
        </w:rPr>
        <w:t>эконом-класса</w:t>
      </w:r>
      <w:proofErr w:type="spellEnd"/>
      <w:proofErr w:type="gramEnd"/>
      <w:r w:rsidRPr="00C86443">
        <w:rPr>
          <w:rFonts w:ascii="Times New Roman" w:eastAsia="Times New Roman" w:hAnsi="Times New Roman"/>
          <w:sz w:val="24"/>
          <w:szCs w:val="24"/>
          <w:shd w:val="clear" w:color="auto" w:fill="FFFFFF"/>
        </w:rPr>
        <w:t>);</w:t>
      </w:r>
    </w:p>
    <w:p w:rsidR="00256556" w:rsidRPr="00C86443" w:rsidRDefault="00256556" w:rsidP="00CD6996">
      <w:pPr>
        <w:pStyle w:val="a6"/>
        <w:numPr>
          <w:ilvl w:val="0"/>
          <w:numId w:val="38"/>
        </w:numPr>
        <w:tabs>
          <w:tab w:val="num" w:pos="426"/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реализации инвестиционных проектов. </w:t>
      </w:r>
    </w:p>
    <w:p w:rsidR="00256556" w:rsidRPr="00C86443" w:rsidRDefault="00256556" w:rsidP="00256556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В рамках создания территории опережающего развития</w:t>
      </w:r>
      <w:r w:rsidR="00AB6B92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«Белебей» (с 2022 года</w:t>
      </w:r>
      <w:r w:rsidR="00095DC6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статус</w:t>
      </w:r>
      <w:r w:rsidR="00AB6B92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ТОСЭР </w:t>
      </w:r>
      <w:r w:rsidR="00CD6996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изменен</w:t>
      </w:r>
      <w:r w:rsidR="00AB6B92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 ТОР) резидентам ТО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 предоставлены налоговые и имущественные льготы, льготы по страховым взносам в негосударственные внебюджетные фонды, облегчённый порядок муниципального и государственного контроля. Эта преференция позволяет существенно улучшить социально-экономическое положение территории, повысить благосостояние горожан, уровень жизни населения.</w:t>
      </w:r>
    </w:p>
    <w:p w:rsidR="00256556" w:rsidRPr="00C86443" w:rsidRDefault="00256556" w:rsidP="00256556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Данные мероприятия позволят создать рабочие места, увеличить объем продаж товаров населению.</w:t>
      </w:r>
    </w:p>
    <w:p w:rsidR="00256556" w:rsidRPr="00C86443" w:rsidRDefault="00256556" w:rsidP="00256556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Оборот стационарной торговой сети (вне рынка) будет повышаться за счет ввода новых торговых предприятий субъектами малого и среднего предпринимательства. В 2023 и последующие годы в соответствии с перспективным планом развития торговой отрасли муниципального района планируется дальнейшее открытие новых предприятий торговли, в том числе большого формата.</w:t>
      </w:r>
    </w:p>
    <w:p w:rsidR="00256556" w:rsidRPr="00C86443" w:rsidRDefault="00256556" w:rsidP="00256556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Второй вариант прогноза товарооборота (базовый) разработан из расчета на благоприятное развитие торговой отрасли за счет:</w:t>
      </w:r>
    </w:p>
    <w:p w:rsidR="00CD6996" w:rsidRPr="00C86443" w:rsidRDefault="00256556" w:rsidP="00CD6996">
      <w:pPr>
        <w:pStyle w:val="a6"/>
        <w:numPr>
          <w:ilvl w:val="0"/>
          <w:numId w:val="38"/>
        </w:numPr>
        <w:tabs>
          <w:tab w:val="num" w:pos="426"/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/>
          <w:sz w:val="24"/>
          <w:szCs w:val="24"/>
          <w:shd w:val="clear" w:color="auto" w:fill="FFFFFF"/>
        </w:rPr>
        <w:t>привлечения инвестиционных ресурсов в развитие инфраструктуры, реконструкцию и строительство объектов торговли;</w:t>
      </w:r>
    </w:p>
    <w:p w:rsidR="00CD6996" w:rsidRPr="00C86443" w:rsidRDefault="00256556" w:rsidP="00CD6996">
      <w:pPr>
        <w:pStyle w:val="a6"/>
        <w:numPr>
          <w:ilvl w:val="0"/>
          <w:numId w:val="38"/>
        </w:numPr>
        <w:tabs>
          <w:tab w:val="num" w:pos="426"/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/>
          <w:sz w:val="24"/>
          <w:szCs w:val="24"/>
          <w:shd w:val="clear" w:color="auto" w:fill="FFFFFF"/>
        </w:rPr>
        <w:t>повышения платежеспособности населения в результате развития и расширения производственных видов деятельности;</w:t>
      </w:r>
    </w:p>
    <w:p w:rsidR="00CD6996" w:rsidRPr="00C86443" w:rsidRDefault="00256556" w:rsidP="00CD6996">
      <w:pPr>
        <w:pStyle w:val="a6"/>
        <w:numPr>
          <w:ilvl w:val="0"/>
          <w:numId w:val="38"/>
        </w:numPr>
        <w:tabs>
          <w:tab w:val="num" w:pos="426"/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/>
          <w:sz w:val="24"/>
          <w:szCs w:val="24"/>
          <w:shd w:val="clear" w:color="auto" w:fill="FFFFFF"/>
        </w:rPr>
        <w:t>расширения ассортимента и качества реализуемых товаров;</w:t>
      </w:r>
    </w:p>
    <w:p w:rsidR="00256556" w:rsidRPr="00C86443" w:rsidRDefault="00256556" w:rsidP="00CD6996">
      <w:pPr>
        <w:pStyle w:val="a6"/>
        <w:numPr>
          <w:ilvl w:val="0"/>
          <w:numId w:val="38"/>
        </w:numPr>
        <w:tabs>
          <w:tab w:val="num" w:pos="426"/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/>
          <w:sz w:val="24"/>
          <w:szCs w:val="24"/>
          <w:shd w:val="clear" w:color="auto" w:fill="FFFFFF"/>
        </w:rPr>
        <w:t>применения гибкой ценовой политики (особенно на социально значимые товары), которое должно повлечь увеличение объемов продаж.</w:t>
      </w:r>
    </w:p>
    <w:p w:rsidR="00256556" w:rsidRPr="00C86443" w:rsidRDefault="00256556" w:rsidP="00256556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Стабилизация социальной обстановки и возобновление экономического роста, рост реальных доходов населения будут способствовать росту товарооборота. Так в 2023 году розничный товарооборот в сопоставимых ценах составит 16710 млн</w:t>
      </w:r>
      <w:proofErr w:type="gram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.р</w:t>
      </w:r>
      <w:proofErr w:type="gram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уб. или 105,05% к уровню 2022 года, в 2024 году рост объемов розничного товарооборота по базовому варианту развития составит 103,59%, в 2025 году – 103,64%, в 2026 году – 103,68%.</w:t>
      </w:r>
    </w:p>
    <w:p w:rsidR="00256556" w:rsidRPr="00C86443" w:rsidRDefault="00256556" w:rsidP="00256556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Состояние рынка платных услуг определяется как платежным потребительским спросом населения муниципального района, так и спектром услуг, предлагаемых населению предприятиями, организациями, учреждениями, а также гражданами, занимающимися предпринимательской деятельностью без образования юридического лица. </w:t>
      </w:r>
    </w:p>
    <w:p w:rsidR="00256556" w:rsidRPr="00C86443" w:rsidRDefault="00256556" w:rsidP="00256556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Оборот платных услуг по крупным и средним предприятиям в 2022 году составил </w:t>
      </w:r>
      <w:r w:rsidR="00A13E1E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2028,42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млн. руб., </w:t>
      </w:r>
      <w:r w:rsidR="00A13E1E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106,75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% к 2021 году в сопоставимых ценах. </w:t>
      </w:r>
    </w:p>
    <w:p w:rsidR="00256556" w:rsidRPr="00C86443" w:rsidRDefault="00256556" w:rsidP="00256556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Наибольшую долю в </w:t>
      </w:r>
      <w:proofErr w:type="gram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общем</w:t>
      </w:r>
      <w:proofErr w:type="gram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объеме платных услуг занимают 3 вида услуг: коммунальные, бытовые и телекоммуникационные услуги. В структуре бытовых услуг наибольший удельный вес занимают услуги: по техобслуживанию и ремонту транспортных средств, машин и оборудования; парикмахерские и косметические услуги; по ремонту и строительству жилья и других построек. Ожидается рост объема медицинских услуг, обусловленный ростом количества предпринимателей, оказывающих данные услуги, расширения спектра оказываемых услуг на основе современных медицинских технологий.</w:t>
      </w:r>
    </w:p>
    <w:p w:rsidR="00A13E1E" w:rsidRPr="00C86443" w:rsidRDefault="00A13E1E" w:rsidP="00A13E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Дальнейший рост объёмов реализации платных услуг населению планируется за счёт:</w:t>
      </w:r>
    </w:p>
    <w:p w:rsidR="00A13E1E" w:rsidRPr="00C86443" w:rsidRDefault="00A13E1E" w:rsidP="00A13E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расширения спектра предоставления качественных платных услуг и форм обслуживания, предлагаемых населению, ориентированных на различные социальные слои населения;</w:t>
      </w:r>
    </w:p>
    <w:p w:rsidR="00A13E1E" w:rsidRPr="00C86443" w:rsidRDefault="00A13E1E" w:rsidP="00A13E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обеспечения доступности услуг для всех категорий населения;</w:t>
      </w:r>
    </w:p>
    <w:p w:rsidR="00A13E1E" w:rsidRPr="00C86443" w:rsidRDefault="00A13E1E" w:rsidP="00A13E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развития сферы бытовых услуг на селе;</w:t>
      </w:r>
    </w:p>
    <w:p w:rsidR="00A13E1E" w:rsidRPr="00C86443" w:rsidRDefault="00A13E1E" w:rsidP="00A13E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открытия новых предприятий, оказывающих услуги населению;</w:t>
      </w:r>
    </w:p>
    <w:p w:rsidR="00A13E1E" w:rsidRPr="00C86443" w:rsidRDefault="00A13E1E" w:rsidP="00A13E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повышения уровня качества и культуры обслуживания населения, наращивания объёмов оказываемых услуг.</w:t>
      </w:r>
    </w:p>
    <w:p w:rsidR="00D1104B" w:rsidRPr="00C86443" w:rsidRDefault="00A13E1E" w:rsidP="00D110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 учётом активно проводимых Правительством РФ и РБ мер </w:t>
      </w:r>
      <w:r w:rsidR="00557EBA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области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социальной политики, полученные денежные средства населением будут направляться на такие, в первую </w:t>
      </w:r>
      <w:r w:rsidR="00557EBA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очередь, необходимые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виды услуг, как бытовые, медицинские, образовательные. </w:t>
      </w:r>
      <w:proofErr w:type="gramEnd"/>
    </w:p>
    <w:p w:rsidR="00AE6A59" w:rsidRPr="00C86443" w:rsidRDefault="00AE6A59" w:rsidP="00D110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C86443">
        <w:rPr>
          <w:rFonts w:ascii="Times New Roman" w:eastAsia="Times New Roman" w:hAnsi="Times New Roman"/>
          <w:sz w:val="24"/>
          <w:szCs w:val="24"/>
        </w:rPr>
        <w:t xml:space="preserve">прогнозе социально-экономического развития муниципального района </w:t>
      </w:r>
      <w:r w:rsidRPr="00C86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подготовленного в июне 2023 года с учетом предварительных итогов социально-экономического развития </w:t>
      </w:r>
      <w:r w:rsidRPr="00C86443">
        <w:rPr>
          <w:rFonts w:ascii="Times New Roman" w:eastAsia="Times New Roman" w:hAnsi="Times New Roman"/>
          <w:sz w:val="24"/>
          <w:szCs w:val="24"/>
        </w:rPr>
        <w:t xml:space="preserve">муниципального района за январь-май 2023 года, показатель объема платных услуг был спрогнозирован с меньшим ростом -102,3%, </w:t>
      </w:r>
      <w:r w:rsidR="0063196F" w:rsidRPr="00C86443">
        <w:rPr>
          <w:rFonts w:ascii="Times New Roman" w:eastAsia="Times New Roman" w:hAnsi="Times New Roman"/>
          <w:sz w:val="24"/>
          <w:szCs w:val="24"/>
        </w:rPr>
        <w:t xml:space="preserve">в стоимостном выражении </w:t>
      </w:r>
      <w:r w:rsidR="0063196F" w:rsidRPr="00C86443">
        <w:rPr>
          <w:rFonts w:ascii="Times New Roman" w:eastAsia="Times New Roman" w:hAnsi="Times New Roman"/>
          <w:sz w:val="24"/>
          <w:szCs w:val="24"/>
        </w:rPr>
        <w:lastRenderedPageBreak/>
        <w:t xml:space="preserve">составлял 2211,17 </w:t>
      </w:r>
      <w:r w:rsidR="00D1104B" w:rsidRPr="00C86443">
        <w:rPr>
          <w:rFonts w:ascii="Times New Roman" w:eastAsia="Times New Roman" w:hAnsi="Times New Roman"/>
          <w:sz w:val="24"/>
          <w:szCs w:val="24"/>
        </w:rPr>
        <w:t>млн. рублей</w:t>
      </w:r>
      <w:r w:rsidR="0063196F" w:rsidRPr="00C86443">
        <w:rPr>
          <w:rFonts w:ascii="Times New Roman" w:eastAsia="Times New Roman" w:hAnsi="Times New Roman"/>
          <w:sz w:val="24"/>
          <w:szCs w:val="24"/>
        </w:rPr>
        <w:t xml:space="preserve">. С учетом статистических данных </w:t>
      </w:r>
      <w:proofErr w:type="spellStart"/>
      <w:r w:rsidR="0063196F" w:rsidRPr="00C86443">
        <w:rPr>
          <w:rFonts w:ascii="Times New Roman" w:eastAsia="Times New Roman" w:hAnsi="Times New Roman"/>
          <w:sz w:val="24"/>
          <w:szCs w:val="24"/>
        </w:rPr>
        <w:t>Башкортостанстата</w:t>
      </w:r>
      <w:proofErr w:type="spellEnd"/>
      <w:r w:rsidR="0063196F" w:rsidRPr="00C86443">
        <w:rPr>
          <w:rFonts w:ascii="Times New Roman" w:eastAsia="Times New Roman" w:hAnsi="Times New Roman"/>
          <w:sz w:val="24"/>
          <w:szCs w:val="24"/>
        </w:rPr>
        <w:t>, объем платных услуг спрогнозирован на уровне 2081,16</w:t>
      </w:r>
      <w:r w:rsidR="00D1104B" w:rsidRPr="00C86443">
        <w:rPr>
          <w:rFonts w:ascii="Times New Roman" w:eastAsia="Times New Roman" w:hAnsi="Times New Roman"/>
          <w:sz w:val="24"/>
          <w:szCs w:val="24"/>
        </w:rPr>
        <w:t xml:space="preserve"> млн. рублей</w:t>
      </w:r>
      <w:r w:rsidR="0063196F" w:rsidRPr="00C86443">
        <w:rPr>
          <w:rFonts w:ascii="Times New Roman" w:eastAsia="Times New Roman" w:hAnsi="Times New Roman"/>
          <w:sz w:val="24"/>
          <w:szCs w:val="24"/>
        </w:rPr>
        <w:t>, 102,6%</w:t>
      </w:r>
      <w:r w:rsidR="00D1104B" w:rsidRPr="00C86443">
        <w:rPr>
          <w:rFonts w:ascii="Times New Roman" w:eastAsia="Times New Roman" w:hAnsi="Times New Roman"/>
          <w:sz w:val="24"/>
          <w:szCs w:val="24"/>
        </w:rPr>
        <w:t xml:space="preserve"> к 2022 году в сопоставимых ценах.</w:t>
      </w:r>
    </w:p>
    <w:p w:rsidR="00256556" w:rsidRPr="00C86443" w:rsidRDefault="00D1104B" w:rsidP="00D1104B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связи с изменением прогнозных данных по данному показателю в 2023 году, к</w:t>
      </w:r>
      <w:r w:rsidR="00256556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2026 году ожидаемый объём платных услуг населению составит по консервативному варианту 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</w:t>
      </w:r>
      <w:r w:rsidR="00256556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2780,69</w:t>
      </w:r>
      <w:r w:rsidR="00256556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млн. руб., по базовому варианту- 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2830,75</w:t>
      </w:r>
      <w:r w:rsidR="00256556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млн. руб. в ценах соответствующих лет. Рост к уровню 2023 года составит 121,58 % и 123,77 % соответственно.</w:t>
      </w:r>
    </w:p>
    <w:p w:rsidR="00256556" w:rsidRPr="00C86443" w:rsidRDefault="00256556" w:rsidP="00545875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Тенденция роста платных услуг в районе прогнозируется в 2023-2026 году как за счёт увеличения цен и тарифов, так и за счёт вводимого жилья, роста количества оказываемых услуг, улучшения их качества, улучшения благосостояния населения и рыночных преобразований.</w:t>
      </w:r>
      <w:proofErr w:type="gramEnd"/>
    </w:p>
    <w:p w:rsidR="00256556" w:rsidRPr="00C86443" w:rsidRDefault="00256556" w:rsidP="00256556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Восстановление покупательской активности и внутреннего спроса ведут к постепенному улучшению показателей развития общественного питания.</w:t>
      </w:r>
    </w:p>
    <w:p w:rsidR="00256556" w:rsidRPr="00C86443" w:rsidRDefault="00256556" w:rsidP="00256556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Уровень развития предприятий общественного питания города достаточно высокий. Растет число новых предприятий, происходят значительные качественные изменения. </w:t>
      </w:r>
      <w:proofErr w:type="gram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целях повышения доступности и комфортности на предприятиях внедряются современные формы организации питания и сервиса: предоставление комплексных обедов, услуги по формированию наборов на вынос, доставка по заказу, «быстрое питание». </w:t>
      </w:r>
      <w:proofErr w:type="gramEnd"/>
    </w:p>
    <w:p w:rsidR="00256556" w:rsidRPr="00C86443" w:rsidRDefault="00256556" w:rsidP="00256556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Сеть предприятий общественного питания на 1 января 2023 </w:t>
      </w:r>
      <w:r w:rsidR="00C5257F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года включает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169 объектов на 12668 посадочных мест, в том числе 74 - общедоступные предприятия на 2614 посадочных мест. </w:t>
      </w:r>
    </w:p>
    <w:p w:rsidR="00256556" w:rsidRPr="00C86443" w:rsidRDefault="00256556" w:rsidP="00256556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Основную часть общедоступных предприятий питания составляют кафе и закусочные. </w:t>
      </w:r>
    </w:p>
    <w:p w:rsidR="00256556" w:rsidRPr="00C86443" w:rsidRDefault="00256556" w:rsidP="00256556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 прогнозным данным в 2023 году оборот общественного питания в сопоставимых ценах составит 427,0</w:t>
      </w:r>
      <w:r w:rsidR="00AB6B92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млн. руб. или 103,17% к 2022 году.</w:t>
      </w:r>
    </w:p>
    <w:p w:rsidR="00256556" w:rsidRPr="00C86443" w:rsidRDefault="00256556" w:rsidP="00256556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 счёт привлечения инвестиционных ресурсов в развитие инфраструктуры, реконструкцию и строительство объектов индустрии питания, повышения  платежеспособности населения, расширения ассортимента и качества реализуемых услуг, применения гибкой ценовой политики, ориентированной на различные социальные слои населения, обеспечения доступности услуг для всех категорий населения, расширения сети предприятий общественного питания;</w:t>
      </w:r>
      <w:proofErr w:type="gram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открытия новых предприятий, оказывающих услуги общественного питания населению, наращивания объёмов оказываемых услуг ожидается рост объемов  товарооборота  общественного  питания.</w:t>
      </w:r>
    </w:p>
    <w:p w:rsidR="00256556" w:rsidRPr="00C86443" w:rsidRDefault="00256556" w:rsidP="00256556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 прогнозным данным рост объемов общественного питания по базовому варианту развития в 2024 году составит 103,04%, в 2025 году – 103,18%, в 2026 году- 103,52%.</w:t>
      </w:r>
    </w:p>
    <w:p w:rsidR="00256556" w:rsidRPr="00C86443" w:rsidRDefault="00256556" w:rsidP="00545875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</w:rPr>
      </w:pPr>
    </w:p>
    <w:p w:rsidR="00315CE3" w:rsidRPr="00C86443" w:rsidRDefault="00315CE3" w:rsidP="00545875">
      <w:pPr>
        <w:pStyle w:val="a4"/>
        <w:spacing w:before="120" w:after="120"/>
        <w:ind w:firstLine="709"/>
        <w:jc w:val="center"/>
        <w:rPr>
          <w:sz w:val="24"/>
        </w:rPr>
      </w:pPr>
      <w:r w:rsidRPr="00C86443">
        <w:rPr>
          <w:sz w:val="24"/>
        </w:rPr>
        <w:t>Инвестиции</w:t>
      </w:r>
    </w:p>
    <w:p w:rsidR="00F738D0" w:rsidRPr="00C86443" w:rsidRDefault="00F738D0" w:rsidP="00545875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Объем инвестиций в основной капитал за счет всех источников финансирования (без субъектов малого предпринимательства и объёма инвестиций, не наблюдаемых прямыми статистическими методами) в 2022 году составил </w:t>
      </w:r>
      <w:r w:rsidR="00113370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2,04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млрд. рублей, индекс физического объема инвестиций – </w:t>
      </w:r>
      <w:r w:rsidR="00113370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55,7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%.  </w:t>
      </w:r>
    </w:p>
    <w:p w:rsidR="00F738D0" w:rsidRPr="00C86443" w:rsidRDefault="00F738D0" w:rsidP="00545875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Снижение объема инвестиции в основной капитал за счет внебюджетных источников финансирования произошло из-за изменения категории субъекта ООО «Уральская мясная компания» со средней на малое предприятие.</w:t>
      </w:r>
      <w:proofErr w:type="gram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связи с этим инвестиции в объеме 1 965,1 млн. рублей по итогу 2022 года не учтены по Белебеевскому району, при этом указанный объем инвестиций отражен в общем итоге инвестиций по Республике Башкортостан (по информации полученной от </w:t>
      </w:r>
      <w:proofErr w:type="spell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Башкортостанстата</w:t>
      </w:r>
      <w:proofErr w:type="spell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инвестиции учтены в </w:t>
      </w:r>
      <w:proofErr w:type="spell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досчёте</w:t>
      </w:r>
      <w:proofErr w:type="spell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 полному кругу).</w:t>
      </w:r>
    </w:p>
    <w:p w:rsidR="00F738D0" w:rsidRPr="00C86443" w:rsidRDefault="00F738D0" w:rsidP="00545875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Снижение объема инвестиции в основной капитал за счет бюджетных источников финансирования произошло на </w:t>
      </w:r>
      <w:r w:rsidR="00113370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119,87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млн. рублей</w:t>
      </w:r>
      <w:r w:rsidR="00113370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Средства,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поступившие </w:t>
      </w:r>
      <w:r w:rsidR="00113370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 федерального бюджета,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были направлены на выполнение мероприятий в </w:t>
      </w:r>
      <w:proofErr w:type="gram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рамках</w:t>
      </w:r>
      <w:proofErr w:type="gram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реализации программы «Формирование комфортной городской среды».</w:t>
      </w:r>
    </w:p>
    <w:p w:rsidR="00F738D0" w:rsidRPr="00C86443" w:rsidRDefault="005D0CFB" w:rsidP="00545875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/>
          <w:sz w:val="24"/>
          <w:szCs w:val="24"/>
        </w:rPr>
        <w:t xml:space="preserve"> </w:t>
      </w:r>
      <w:r w:rsidR="00F738D0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 строительство и реконструкцию объектов социального значения за счет средств федерального бюджета, бюджета Республики Башкортостан, бюджета муниципального района в 2022 году было направлено </w:t>
      </w:r>
      <w:r w:rsidR="00113370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212,26</w:t>
      </w:r>
      <w:r w:rsidR="00F738D0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млн. рублей или </w:t>
      </w:r>
      <w:r w:rsidR="00113370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10,43</w:t>
      </w:r>
      <w:r w:rsidR="00F738D0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% от общего объема инвестиций. </w:t>
      </w:r>
    </w:p>
    <w:p w:rsidR="00F738D0" w:rsidRPr="00C86443" w:rsidRDefault="00F738D0" w:rsidP="00545875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 2022  году  за счет бюджетных средств выполнены следующие виды работ:</w:t>
      </w:r>
    </w:p>
    <w:p w:rsidR="00F738D0" w:rsidRPr="00C86443" w:rsidRDefault="00F738D0" w:rsidP="00545875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- строительство фельдшерско-акушерского пункта в </w:t>
      </w:r>
      <w:proofErr w:type="spell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</w:t>
      </w:r>
      <w:proofErr w:type="gram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.Б</w:t>
      </w:r>
      <w:proofErr w:type="gram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аймурзино</w:t>
      </w:r>
      <w:proofErr w:type="spell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района Белебеевский район Республики Башкортостан;</w:t>
      </w:r>
    </w:p>
    <w:p w:rsidR="00F738D0" w:rsidRPr="00C86443" w:rsidRDefault="00F738D0" w:rsidP="00545875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строительство пятиэтажки в г.Белебей, улица </w:t>
      </w:r>
      <w:proofErr w:type="spell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Травницкого</w:t>
      </w:r>
      <w:proofErr w:type="spell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 программе «Переселение из аварийного жилья»;</w:t>
      </w:r>
    </w:p>
    <w:p w:rsidR="00F738D0" w:rsidRPr="00C86443" w:rsidRDefault="00F738D0" w:rsidP="00545875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благоустройство территории Центра «</w:t>
      </w:r>
      <w:proofErr w:type="spell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Старогородецкий</w:t>
      </w:r>
      <w:proofErr w:type="spell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 и прилегающей территории к улице Советской в ГП г. Белебей МР Белебеевский район Республики Башкортостан.</w:t>
      </w:r>
    </w:p>
    <w:p w:rsidR="00F738D0" w:rsidRPr="00C86443" w:rsidRDefault="00F738D0" w:rsidP="00545875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 счет внебюджетных средств в г</w:t>
      </w:r>
      <w:proofErr w:type="gram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.Б</w:t>
      </w:r>
      <w:proofErr w:type="gram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елебее завершены работы по строительству магазина «Находка».  </w:t>
      </w:r>
    </w:p>
    <w:p w:rsidR="00F738D0" w:rsidRPr="00C86443" w:rsidRDefault="00F738D0" w:rsidP="00545875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Вложение инвестиций осуществлялось благодаря реализации мероприятий по модернизации и диверсификации производств, в том числе за счёт новых инвестиционных проектов.</w:t>
      </w:r>
    </w:p>
    <w:p w:rsidR="00F738D0" w:rsidRPr="00C86443" w:rsidRDefault="00F738D0" w:rsidP="00545875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Отличительной особенностью инвестирования в промышленные объекты в последние годы является </w:t>
      </w:r>
      <w:r w:rsidR="00C7019B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реализация проектов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направленных на диверсификацию производства, расширение рынков сбыта продукции и минимизацию </w:t>
      </w:r>
      <w:proofErr w:type="spell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монопрофильной</w:t>
      </w:r>
      <w:proofErr w:type="spell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структуры экономики района. </w:t>
      </w:r>
      <w:proofErr w:type="gramEnd"/>
    </w:p>
    <w:p w:rsidR="00F738D0" w:rsidRPr="00C86443" w:rsidRDefault="00F738D0" w:rsidP="00545875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Предприятием по производству нормалей и метизов </w:t>
      </w:r>
      <w:r w:rsidRPr="00C8644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АО «</w:t>
      </w:r>
      <w:proofErr w:type="spellStart"/>
      <w:r w:rsidRPr="00C8644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БелЗАН</w:t>
      </w:r>
      <w:proofErr w:type="spellEnd"/>
      <w:r w:rsidRPr="00C8644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продолжается реализация проекта по освоению производства крепежа для авиа и судостроения, модернизации существующего производства с целью повышения качества готовой продукции, снижения энергоёмкости продукции и повышению её рентабельности. Объем инвестиций по предприятию в 2022 году составил 71,4 </w:t>
      </w:r>
      <w:r w:rsidR="00557EBA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млн. рублей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F738D0" w:rsidRPr="00C86443" w:rsidRDefault="00F738D0" w:rsidP="00113370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 2021-2026 годы предприятием АО «</w:t>
      </w:r>
      <w:proofErr w:type="spell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БелЗАН</w:t>
      </w:r>
      <w:proofErr w:type="spell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начата реализация  программы технического перевооружения предприятия, в </w:t>
      </w:r>
      <w:proofErr w:type="gram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которую</w:t>
      </w:r>
      <w:proofErr w:type="gram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планируется вложить около 1,6 млрд. рублей.</w:t>
      </w:r>
      <w:r w:rsidR="00113370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2023 году предприятие планирует освоить инвестиций на сумму 80 </w:t>
      </w:r>
      <w:r w:rsidR="00557EBA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млн. рублей</w:t>
      </w:r>
      <w:r w:rsidR="00113370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F738D0" w:rsidRPr="00C86443" w:rsidRDefault="00F738D0" w:rsidP="00545875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ООО «Белебеевский завод «</w:t>
      </w:r>
      <w:proofErr w:type="spellStart"/>
      <w:r w:rsidRPr="00C8644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Автокомплект</w:t>
      </w:r>
      <w:proofErr w:type="spellEnd"/>
      <w:r w:rsidRPr="00C8644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»,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специализирующийся на выпуске продукции </w:t>
      </w:r>
      <w:proofErr w:type="gram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для</w:t>
      </w:r>
      <w:proofErr w:type="gram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автомобильной промышленности. </w:t>
      </w:r>
    </w:p>
    <w:p w:rsidR="00F738D0" w:rsidRPr="00C86443" w:rsidRDefault="00F738D0" w:rsidP="00545875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2022 году ООО «Белебеевский завод «</w:t>
      </w:r>
      <w:proofErr w:type="spell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Автокомплект</w:t>
      </w:r>
      <w:proofErr w:type="spell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с участием Фонда развития промышленности Республики Башкортостан продолжал реализацию нового инвестиционного проекта «Модернизация производства </w:t>
      </w:r>
      <w:proofErr w:type="spell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автокомпонентов</w:t>
      </w:r>
      <w:proofErr w:type="spell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ходовой части и рулевого управления легкового автомобиля». Период реализации проекта 2020-2025 годы. Плановый объем инвестиций по проекту составил 107,2 млн. рублей, также планируется создать 24 новых рабочих места. За 2022 год предприятием освоено 7,1 </w:t>
      </w:r>
      <w:r w:rsidR="00557EBA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млн. рублей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F738D0" w:rsidRPr="00C86443" w:rsidRDefault="00F738D0" w:rsidP="00545875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 втором квартале 2023 года Белебеевский завод «</w:t>
      </w:r>
      <w:proofErr w:type="spell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Автокомплект</w:t>
      </w:r>
      <w:proofErr w:type="spell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запустил производство тормозных дисков для легковых автомобилей «АвтоВАЗа» объемом до 102 тысяч штук в год. Проект был рассмотрен и одобрен в </w:t>
      </w:r>
      <w:proofErr w:type="gram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рамках</w:t>
      </w:r>
      <w:proofErr w:type="gram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программы «Комплектующие изделия» и предусматривает совместное финансирование регионального и федерального ФРП (Фонд развития промышленности). В результате реализации инвестиционного проекта планируется освоение инвестиций в объеме 94,8 млн. рублей, в том числе 19 млн. рублей за счет собственных средств, и создание 2 новых высокотехнологичных рабочих мест. </w:t>
      </w:r>
    </w:p>
    <w:p w:rsidR="00F738D0" w:rsidRPr="00C86443" w:rsidRDefault="00F738D0" w:rsidP="00545875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Предприятие по производству твердых сычужных сыров и другой молочной продукц</w:t>
      </w:r>
      <w:proofErr w:type="gram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ии </w:t>
      </w:r>
      <w:r w:rsidRPr="00C8644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АО</w:t>
      </w:r>
      <w:proofErr w:type="gramEnd"/>
      <w:r w:rsidRPr="00C8644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«Белебеевский ордена «Знак Почёта» молочный комбинат»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осваивает автоматизированную сыродельную линию, реконструирует энергохозяйство, котельную, маслодельный цех, </w:t>
      </w:r>
      <w:proofErr w:type="spell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сырохранилище</w:t>
      </w:r>
      <w:proofErr w:type="spell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обновляет автомобильный транспорт. В 2022 году в производственной программе предприятия на эти цели было потрачено </w:t>
      </w:r>
      <w:r w:rsidR="00260D23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277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млн. рублей, это </w:t>
      </w:r>
      <w:r w:rsidR="00260D23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больше на 85,3 </w:t>
      </w:r>
      <w:r w:rsidR="00197B5E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млн. </w:t>
      </w:r>
      <w:proofErr w:type="gramStart"/>
      <w:r w:rsidR="00197B5E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рублей</w:t>
      </w:r>
      <w:proofErr w:type="gram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чем в 2021 году. </w:t>
      </w:r>
    </w:p>
    <w:p w:rsidR="00F738D0" w:rsidRPr="00C86443" w:rsidRDefault="00F738D0" w:rsidP="00545875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2023 году предприятие продолжает строительство завода по производству мягких сыров. Ввод в эксплуатацию завода по производству мягких сыров планируется в 2024 году. Общий объём инвестиций составит порядка 2,5 млрд. рублей. </w:t>
      </w:r>
      <w:r w:rsidR="00260D23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Ожидаемый объем инвестиций за 2023 год по предприятию планируется 1,24 млрд. рублей.  </w:t>
      </w:r>
    </w:p>
    <w:p w:rsidR="00F738D0" w:rsidRPr="00C86443" w:rsidRDefault="00F738D0" w:rsidP="00545875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ООО «Белебеевское предприятие «</w:t>
      </w:r>
      <w:proofErr w:type="spellStart"/>
      <w:r w:rsidRPr="00C8644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Автодеталь</w:t>
      </w:r>
      <w:proofErr w:type="spellEnd"/>
      <w:r w:rsidRPr="00C8644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»»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специализируется на выпуске продукции для производства автомобилестроения, предприятием освоен выпуск новых видов продукции – изделий из проволоки, номенклатура которых </w:t>
      </w:r>
      <w:proofErr w:type="gram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имеет до 1000 наименований и расширяется</w:t>
      </w:r>
      <w:proofErr w:type="gram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 мере поступления новых заказов. Доля этой продукции увеличена до 45 % от общего объема производства. </w:t>
      </w:r>
      <w:proofErr w:type="gram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Потребителями продукции являются производители теплиц, вентиляторов и тепловых пушек, подвесов волоконно-оптических линий связи, продукции для птицеводческих фермерских хозяйств, заготовители пушного зверя, торговые предприятия.</w:t>
      </w:r>
      <w:proofErr w:type="gram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2022 году предприятием освоено инвестиций на сумму 3,1 млн. рублей. Средства направлены на приобретение оборудования. В 2023 году предприятием также планируется приобрести оборудование на сумму </w:t>
      </w:r>
      <w:r w:rsidR="00260D23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млн. рублей.</w:t>
      </w:r>
    </w:p>
    <w:p w:rsidR="00DA5B78" w:rsidRPr="00C86443" w:rsidRDefault="00DA5B78" w:rsidP="00545875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ОАО «Керамика»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завод по выпуску керамического пустотелого кирпича методом пластического формирования на вакуумном прессе.</w:t>
      </w:r>
    </w:p>
    <w:p w:rsidR="00DA5B78" w:rsidRPr="00C86443" w:rsidRDefault="00DA5B78" w:rsidP="00545875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Завод регулярно расширяет модельный ряд продукции, выводит на рынок новые коллекции </w:t>
      </w:r>
      <w:proofErr w:type="gram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высококачественного декоративного</w:t>
      </w:r>
      <w:proofErr w:type="gram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кирпича, свойства которого ориентированы на широкий круг потребителей. </w:t>
      </w:r>
      <w:proofErr w:type="gram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настоящее время предприятие продолжает испытания по выпуску новых видов продукции по цветовой гамме с целью расширения ассортимента выпускаемой продукции и удовлетворения спроса покупателей.</w:t>
      </w:r>
      <w:proofErr w:type="gram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2022 году фактический объем инвестиций составил 33,1 млн. рублей.</w:t>
      </w:r>
    </w:p>
    <w:p w:rsidR="00DA5B78" w:rsidRPr="00C86443" w:rsidRDefault="00DA5B78" w:rsidP="00545875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2023 году предприятием планируется обновление технологического оборудования на сумму </w:t>
      </w:r>
      <w:r w:rsidR="00260D23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30,0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млн. рублей. </w:t>
      </w:r>
    </w:p>
    <w:p w:rsidR="002E7115" w:rsidRPr="00C86443" w:rsidRDefault="00DA5B78" w:rsidP="002E7115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ООО НПП «АММА»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 базе существующего производства в 2022 году освоило инвестиций в размере </w:t>
      </w:r>
      <w:r w:rsidR="002E7115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23,16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млн. рублей. </w:t>
      </w:r>
      <w:r w:rsidR="002E7115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2023 году объем инвестиций по предприятию составит 60,0 млн. рублей. </w:t>
      </w:r>
    </w:p>
    <w:p w:rsidR="00DA5B78" w:rsidRPr="00C86443" w:rsidRDefault="00DA5B78" w:rsidP="00545875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Также в данном </w:t>
      </w:r>
      <w:proofErr w:type="gram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прогнозе</w:t>
      </w:r>
      <w:proofErr w:type="gram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задействованы инвестиции </w:t>
      </w:r>
      <w:r w:rsidR="00197B5E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инвестиционных проектов,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реализуемых резидентами ТОР «Белебей».</w:t>
      </w:r>
    </w:p>
    <w:p w:rsidR="00DA5B78" w:rsidRPr="00C86443" w:rsidRDefault="00DA5B78" w:rsidP="00545875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НПЦ ЭНТ ООО «Юпитер»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планирует в 2020-2024 годах реализовать инвестиционный проект «Организация производства пиломатериалов и </w:t>
      </w:r>
      <w:proofErr w:type="spell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арболитовых</w:t>
      </w:r>
      <w:proofErr w:type="spell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панелей на территории моногорода Белебей Республики Башкортостан Приволжского региона РФ», в рамках которого планируется освоить не менее 321,8 млн. рублей и создать 143 новых рабочих места. Заключен договор аренды на предоставление земельного участка. Ведутся проектные работы.</w:t>
      </w:r>
    </w:p>
    <w:p w:rsidR="00DA5B78" w:rsidRPr="00C86443" w:rsidRDefault="00DA5B78" w:rsidP="00545875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ООО «ТК Белебеевский»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планирует в 2023-2026 </w:t>
      </w:r>
      <w:proofErr w:type="gram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годах</w:t>
      </w:r>
      <w:proofErr w:type="gram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реализовать проект «Строительство тепличного комплекса по выращиванию томатов и огурцов в г.Белебей». Общая сумма проекта составляет 350 </w:t>
      </w:r>
      <w:r w:rsidR="00197B5E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млн. рублей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DA5B78" w:rsidRPr="00C86443" w:rsidRDefault="00DA5B78" w:rsidP="00545875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Реализация ряда вышеуказанных проектов планируется в </w:t>
      </w:r>
      <w:proofErr w:type="gram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рамках</w:t>
      </w:r>
      <w:proofErr w:type="gram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создания территории опережающего развития «Белебей».</w:t>
      </w:r>
    </w:p>
    <w:p w:rsidR="00DA5B78" w:rsidRPr="00C86443" w:rsidRDefault="00DA5B78" w:rsidP="00545875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Доля собственных средств предприятий и организаций муниципального района в </w:t>
      </w:r>
      <w:proofErr w:type="gram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общем</w:t>
      </w:r>
      <w:proofErr w:type="gram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объеме инв</w:t>
      </w:r>
      <w:r w:rsidR="002E7115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естиций в 2022 году составила 67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,9</w:t>
      </w:r>
      <w:r w:rsidR="002E7115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7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%. Финансирование мероприятий в основном осуществляется за счет полученной прибыли и амортизационных отчислений.</w:t>
      </w:r>
    </w:p>
    <w:p w:rsidR="002E7115" w:rsidRPr="00C86443" w:rsidRDefault="002E7115" w:rsidP="002E7115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 9 месяцев 2023 года индекс физического объема инвестиций в основной капитал, в сопоставимых </w:t>
      </w:r>
      <w:proofErr w:type="gram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ценах</w:t>
      </w:r>
      <w:proofErr w:type="gram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 аналогичному периоду предыдущего года составил 69,3%. </w:t>
      </w:r>
    </w:p>
    <w:p w:rsidR="002E7115" w:rsidRPr="00C86443" w:rsidRDefault="002E7115" w:rsidP="002E7115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Снижение инвестиций в основной капитал (за исключением бюджетных средств) произошёл за счёт ввода в эксплуатацию в 2022 году завершённых инвестиционных проектов «Животноводческая площадка по выращиванию и откорму свиней» (ООО «Башкирская мясная компания») на сумму 921,6 млн. рублей и «Создание современного </w:t>
      </w:r>
      <w:proofErr w:type="spell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свинокомплекса</w:t>
      </w:r>
      <w:proofErr w:type="spell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общей мощностью 15 тыс. тонн свинины в живом весе в год на территории Республики Башкортостан» (ООО «Уральская мясная компания</w:t>
      </w:r>
      <w:proofErr w:type="gram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») на сумму 762,4 млн. рублей.</w:t>
      </w:r>
    </w:p>
    <w:p w:rsidR="002E7115" w:rsidRPr="00C86443" w:rsidRDefault="002E7115" w:rsidP="002E7115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Рост объема инвестиции в основной капитал за счёт бюджетных средств на 15,3 млн. рублей. Средства, поступившие с республиканского бюджета направлены на выполнение мероприятий в </w:t>
      </w:r>
      <w:proofErr w:type="gram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рамках</w:t>
      </w:r>
      <w:proofErr w:type="gram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реализации программы «Формирование комфортной городской среды».</w:t>
      </w:r>
    </w:p>
    <w:p w:rsidR="002E7115" w:rsidRPr="00C86443" w:rsidRDefault="002E7115" w:rsidP="002E7115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Несмотря на сложившуюся ситуацию, связанную с влиянием </w:t>
      </w:r>
      <w:proofErr w:type="spell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санкционной</w:t>
      </w:r>
      <w:proofErr w:type="spell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политики на российскую экономику в целом по Белебеевскому району на конец 2023 года, ожидается рост инвестиций в основной капитал в сопоставимых ценах на </w:t>
      </w:r>
      <w:r w:rsidR="00C7019B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38,44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%, за счет собственных средств предприятий, направленных на реализацию следующих инвестиционных проектов:</w:t>
      </w:r>
      <w:proofErr w:type="gramEnd"/>
    </w:p>
    <w:p w:rsidR="002E7115" w:rsidRPr="00C86443" w:rsidRDefault="002E7115" w:rsidP="002E7115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«Техническое перевооружение электрических эстакад, укрепление фундамента под емкостями, а также модернизация существующего оборудования ООО «</w:t>
      </w:r>
      <w:proofErr w:type="spell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Шкаповское</w:t>
      </w:r>
      <w:proofErr w:type="spell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ГПП» Приютово;   </w:t>
      </w:r>
    </w:p>
    <w:p w:rsidR="002E7115" w:rsidRPr="00C86443" w:rsidRDefault="002E7115" w:rsidP="002E7115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«Техническое перевооружение АО «</w:t>
      </w:r>
      <w:proofErr w:type="spell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БелЗАН</w:t>
      </w:r>
      <w:proofErr w:type="spell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»;</w:t>
      </w:r>
    </w:p>
    <w:p w:rsidR="002E7115" w:rsidRPr="00C86443" w:rsidRDefault="002E7115" w:rsidP="002E7115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«Модернизация производства </w:t>
      </w:r>
      <w:proofErr w:type="spell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автокомпонентов</w:t>
      </w:r>
      <w:proofErr w:type="spell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ходовой части и рулевого управления легкового автомобиля»;</w:t>
      </w:r>
    </w:p>
    <w:p w:rsidR="002E7115" w:rsidRPr="00C86443" w:rsidRDefault="002E7115" w:rsidP="002E7115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«Строительство завода по производству мягких сыров до 3000 </w:t>
      </w:r>
      <w:proofErr w:type="spell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тн</w:t>
      </w:r>
      <w:proofErr w:type="spell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/год».</w:t>
      </w:r>
    </w:p>
    <w:p w:rsidR="002E7115" w:rsidRPr="00C86443" w:rsidRDefault="002E7115" w:rsidP="002E7115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В среднесрочный период за счет бюджетных средств, частных инвестиций, а также сре</w:t>
      </w:r>
      <w:proofErr w:type="gram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дств бл</w:t>
      </w:r>
      <w:proofErr w:type="gram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аготворительных фондов планируется строительство, реконструкция и модернизация следующих объектов:</w:t>
      </w:r>
    </w:p>
    <w:p w:rsidR="002E7115" w:rsidRPr="00C86443" w:rsidRDefault="002E7115" w:rsidP="002E7115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строительство производственного участка ООО БПУ «УМЗ»;</w:t>
      </w:r>
    </w:p>
    <w:p w:rsidR="002E7115" w:rsidRPr="00C86443" w:rsidRDefault="002E7115" w:rsidP="002E7115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реконструкция стадиона по адресу: г. Белебей, ул. Уфимская, 5 «А» 1 этап;</w:t>
      </w:r>
    </w:p>
    <w:p w:rsidR="002E7115" w:rsidRPr="00C86443" w:rsidRDefault="002E7115" w:rsidP="002E7115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строительство магазина автозапчастей п</w:t>
      </w:r>
      <w:proofErr w:type="gram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.П</w:t>
      </w:r>
      <w:proofErr w:type="gram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риютово, </w:t>
      </w:r>
      <w:r w:rsidR="00557EBA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ул. Комсомольская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15;</w:t>
      </w:r>
    </w:p>
    <w:p w:rsidR="002E7115" w:rsidRPr="00C86443" w:rsidRDefault="002E7115" w:rsidP="002E7115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строительства ТК </w:t>
      </w:r>
      <w:r w:rsidR="00557EBA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п. Приютово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ул. Калинина 14</w:t>
      </w:r>
      <w:proofErr w:type="gram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</w:t>
      </w:r>
      <w:proofErr w:type="gram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2E7115" w:rsidRPr="00C86443" w:rsidRDefault="002E7115" w:rsidP="002E7115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реконструкция спортивного зала с. Ермолкино Белебеевского района Республики Башкортостан;</w:t>
      </w:r>
    </w:p>
    <w:p w:rsidR="002E7115" w:rsidRPr="00C86443" w:rsidRDefault="002E7115" w:rsidP="002E7115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строительство тепличного комплекса ООО «ТК Белебеевский»;</w:t>
      </w:r>
    </w:p>
    <w:p w:rsidR="002E7115" w:rsidRPr="00C86443" w:rsidRDefault="002E7115" w:rsidP="002E7115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строительство СДК на 300 мест с ДШИ в </w:t>
      </w:r>
      <w:r w:rsidR="00557EBA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с. Аксаково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района Белебеевский район Республики Башкортостан.</w:t>
      </w:r>
    </w:p>
    <w:p w:rsidR="002E7115" w:rsidRPr="00C86443" w:rsidRDefault="002E7115" w:rsidP="002E7115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рамках программы «Формирование комфортной городской среды» в 2023 году благоустроены 4 объекта в г. Белебее на сумму 98,7 млн. рублей:</w:t>
      </w:r>
    </w:p>
    <w:p w:rsidR="002E7115" w:rsidRPr="00C86443" w:rsidRDefault="002E7115" w:rsidP="002E7115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благоустройство территории, прилегающей к ул. </w:t>
      </w:r>
      <w:proofErr w:type="spell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им.В.И.Ленина</w:t>
      </w:r>
      <w:proofErr w:type="spell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ограниченная </w:t>
      </w:r>
      <w:r w:rsidR="00557EBA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ул. Красная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557EBA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ул. Интернациональная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в ГП г.Белебей МР Белебеевский район РБ (объект 1, 2, 3);</w:t>
      </w:r>
    </w:p>
    <w:p w:rsidR="002E7115" w:rsidRPr="00C86443" w:rsidRDefault="002E7115" w:rsidP="002E7115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благоустройство территории Центра «</w:t>
      </w:r>
      <w:proofErr w:type="spell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Старогородецкий</w:t>
      </w:r>
      <w:proofErr w:type="spell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 и прилегающей территории к улице Советской в ГП г. Белебей МР Белебеевский район Республики Башкортостан («Белебей: квартал Тюремного замка»);</w:t>
      </w:r>
    </w:p>
    <w:p w:rsidR="002E7115" w:rsidRPr="00C86443" w:rsidRDefault="002E7115" w:rsidP="002E7115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9D2319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ходе реализации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программы «Комплексное благоустройство дворовых территорий «Башкирский дворик» в 2023 году благоустроили 2 объекта на общую сумму 53,5 млн. рублей: </w:t>
      </w:r>
    </w:p>
    <w:p w:rsidR="002E7115" w:rsidRPr="00C86443" w:rsidRDefault="002E7115" w:rsidP="002E7115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ГП Белебей, </w:t>
      </w:r>
      <w:r w:rsidR="00557EBA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ул. Красная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118;</w:t>
      </w:r>
      <w:proofErr w:type="gramEnd"/>
    </w:p>
    <w:p w:rsidR="002E7115" w:rsidRPr="00C86443" w:rsidRDefault="002E7115" w:rsidP="002E7115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ГП Приютово, бульвар Мира 9,11,13, ул</w:t>
      </w:r>
      <w:proofErr w:type="gram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.К</w:t>
      </w:r>
      <w:proofErr w:type="gram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арла Маркса 16, 16а, ул.Первомайская 14, ул. 50 лет ВКСМ 15.</w:t>
      </w:r>
    </w:p>
    <w:p w:rsidR="002E7115" w:rsidRPr="00C86443" w:rsidRDefault="002E7115" w:rsidP="002E7115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рамках реализации регионального проекта «Спорт – норма жизни» национального проекта «Демография» </w:t>
      </w:r>
      <w:r w:rsidR="00557EBA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 поддержке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Министерства спорта Республики Башкортостан во втором квартале 2023 года администрацией муниципального района Белебеевский район Республики Башкортостан получен спортивный инвентарь для сдачи ГТО на сумму 3,27 </w:t>
      </w:r>
      <w:r w:rsidR="00557EBA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млн. рублей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9D2319" w:rsidRPr="00C86443" w:rsidRDefault="009D2319" w:rsidP="009D2319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уточнённом прогнозе 2023 года инвестиции в ценах соответствующих лет увеличились на сумму 773 млн. рублей за счёт: </w:t>
      </w:r>
    </w:p>
    <w:p w:rsidR="009D2319" w:rsidRPr="00C86443" w:rsidRDefault="009D2319" w:rsidP="009D2319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«Техническое перевооружение электрических эстакад, укрепление фундамента под емкостями, а также модернизация существующего оборудования ООО «</w:t>
      </w:r>
      <w:proofErr w:type="spell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Шкаповское</w:t>
      </w:r>
      <w:proofErr w:type="spell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ГПП» Приютово – 400 млн. рублей;   </w:t>
      </w:r>
    </w:p>
    <w:p w:rsidR="009D2319" w:rsidRPr="00C86443" w:rsidRDefault="009D2319" w:rsidP="009D2319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ТОСП ООО "РН-ТРАНСПОРТ" </w:t>
      </w:r>
      <w:proofErr w:type="spell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Приютовское</w:t>
      </w:r>
      <w:proofErr w:type="spell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подразделение (обновление автопарка) – 400 млн. рублей.</w:t>
      </w:r>
    </w:p>
    <w:p w:rsidR="002E7115" w:rsidRPr="00C86443" w:rsidRDefault="00993138" w:rsidP="002E7115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2024 год запланировано наращивание т</w:t>
      </w:r>
      <w:r w:rsidR="002E7115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емп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="002E7115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роста по инвестициям в основной капитал по крупн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ым и средним предприятиям. </w:t>
      </w:r>
    </w:p>
    <w:p w:rsidR="002E7115" w:rsidRPr="00C86443" w:rsidRDefault="002E7115" w:rsidP="002E7115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Рост инвестиций в 2024 году связан с завершением инвестиционного проекта «Строительство завода по производству мягких сыров до 3000 </w:t>
      </w:r>
      <w:proofErr w:type="spell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тн</w:t>
      </w:r>
      <w:proofErr w:type="spell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/год», плановая сумма инвестиций по данному объекту составляет 2201 </w:t>
      </w:r>
      <w:r w:rsidR="00557EBA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млн. рублей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2E7115" w:rsidRPr="00C86443" w:rsidRDefault="009759C0" w:rsidP="002E7115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рамках р</w:t>
      </w:r>
      <w:r w:rsidR="006E1EDE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еспубликанской адресной инвестиционной программ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ы</w:t>
      </w:r>
      <w:r w:rsidR="006E1EDE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утвержденной Премьер-министром Правительства РБ,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 счет бюджетных средств</w:t>
      </w:r>
      <w:r w:rsidR="002E7115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 2025 год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Белебеевском</w:t>
      </w:r>
      <w:proofErr w:type="spell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районе</w:t>
      </w:r>
      <w:r w:rsidR="002E7115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запланировано</w:t>
      </w:r>
      <w:r w:rsidR="006E1EDE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реализация проекта</w:t>
      </w:r>
      <w:r w:rsidR="006E1EDE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«Реконструкция стадиона по адресу: г. Белебей, ул. Уфимская, 5 «А» в размере 96,5 </w:t>
      </w:r>
      <w:r w:rsidR="00557EBA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млн. рублей</w:t>
      </w:r>
      <w:r w:rsidR="006E1EDE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2E7115" w:rsidRPr="00C86443" w:rsidRDefault="002E7115" w:rsidP="002E7115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20</w:t>
      </w:r>
      <w:r w:rsidR="00A81EF7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6 году по базовому варианту рост инвестиций в сопоставимых ценах сохранен и составил 100,59 % (в 2026 г. по базовому варианту в ценах соответствующих лет по отношению к 2023 году увеличится - на 40,5%) за счет реализации </w:t>
      </w:r>
      <w:proofErr w:type="gram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вышеуказанных новых</w:t>
      </w:r>
      <w:proofErr w:type="gram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инвестиционных проектов, а также утвержденных сценарных условий до 2026 года по Республике Башкортостан. </w:t>
      </w:r>
    </w:p>
    <w:p w:rsidR="002E7115" w:rsidRPr="00C86443" w:rsidRDefault="002E7115" w:rsidP="002E7115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Большая доля инвестиционных проектов (мероприятий) осуществляется за счет собственных сре</w:t>
      </w:r>
      <w:proofErr w:type="gram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дств пр</w:t>
      </w:r>
      <w:proofErr w:type="gram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едприятий, а также бюджетных средств, выданных на условиях </w:t>
      </w:r>
      <w:proofErr w:type="spell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софинансирования</w:t>
      </w:r>
      <w:proofErr w:type="spell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из федерального, республиканского и местного бюджетов.</w:t>
      </w:r>
    </w:p>
    <w:p w:rsidR="00904B71" w:rsidRPr="00C86443" w:rsidRDefault="002E7115" w:rsidP="00C5257F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При разработке прогноза учитывались данные предприятий и организаций муниципального района, мероприятия федеральных, республиканских и муниципальных 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программ, частично данные новых инвестиционных проектов, а также общая </w:t>
      </w:r>
      <w:r w:rsidR="009759C0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экономическая ситуация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End"/>
    </w:p>
    <w:p w:rsidR="00256556" w:rsidRPr="00C86443" w:rsidRDefault="00256556" w:rsidP="00256556">
      <w:pPr>
        <w:pStyle w:val="a4"/>
        <w:spacing w:before="120" w:after="120"/>
        <w:jc w:val="center"/>
        <w:rPr>
          <w:sz w:val="24"/>
        </w:rPr>
      </w:pPr>
      <w:r w:rsidRPr="00C86443">
        <w:rPr>
          <w:sz w:val="24"/>
        </w:rPr>
        <w:t>Сельское хозяйство</w:t>
      </w:r>
    </w:p>
    <w:p w:rsidR="00256556" w:rsidRPr="00C86443" w:rsidRDefault="00256556" w:rsidP="00E75442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 состоянию на 1 </w:t>
      </w:r>
      <w:r w:rsidR="0027652F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декабря</w:t>
      </w:r>
      <w:r w:rsidR="00F8743B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2023 года в муниципальном районе Белебеевский район РБ производством сельскохозяйственной продукции занимаются 14 сельскохозяйственных организаций (в том числе 2 сельскохозяйственных производственных кооператива, 1 потребительский кооператив), 128 крестьянских (фермерских) хозяйств, а также 8006 личных подворий населения.</w:t>
      </w:r>
    </w:p>
    <w:p w:rsidR="00256556" w:rsidRPr="00C86443" w:rsidRDefault="00256556" w:rsidP="00E75442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 2022 год валовой продукции сельского хозяйства во всех категориях хозяйств муниципального района произведено на сумму </w:t>
      </w:r>
      <w:r w:rsidR="00F8743B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4686,85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млн. рублей в действующих ценах или </w:t>
      </w:r>
      <w:r w:rsidR="00F8743B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171,4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 к уровню 2021 года, в том числе:</w:t>
      </w:r>
    </w:p>
    <w:p w:rsidR="00256556" w:rsidRPr="00C86443" w:rsidRDefault="00256556" w:rsidP="00E75442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по сельскохозяйственным предприятиям – </w:t>
      </w:r>
      <w:r w:rsidR="00F8743B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2632,32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млн. рублей (</w:t>
      </w:r>
      <w:r w:rsidR="00F8743B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267,1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 к 2021 году в сопоставимых ценах);</w:t>
      </w:r>
    </w:p>
    <w:p w:rsidR="00256556" w:rsidRPr="00C86443" w:rsidRDefault="00256556" w:rsidP="00E75442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по крестьянским (фермерским) хозяйствам – </w:t>
      </w:r>
      <w:r w:rsidR="00F8743B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742,48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млн. рублей (1</w:t>
      </w:r>
      <w:r w:rsidR="00F8743B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43,5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%);</w:t>
      </w:r>
    </w:p>
    <w:p w:rsidR="00256556" w:rsidRPr="00C86443" w:rsidRDefault="00256556" w:rsidP="00E75442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по хозяйствам населения – </w:t>
      </w:r>
      <w:r w:rsidR="00F8743B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1312,05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млн. рублей (</w:t>
      </w:r>
      <w:r w:rsidR="00F8743B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100,2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%).</w:t>
      </w:r>
    </w:p>
    <w:p w:rsidR="00256556" w:rsidRPr="00C86443" w:rsidRDefault="00256556" w:rsidP="00E75442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Объем произведенной продукции растениеводства составил </w:t>
      </w:r>
      <w:r w:rsidR="00F8743B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1567,08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млн. рублей. Доля продукции растениеводства в общем объеме валовой продукции снизилась – 3</w:t>
      </w:r>
      <w:r w:rsidR="00F8743B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% против 36% в 2021 году. Индекс производства продукции растениеводства в сопоставимых ценах составил </w:t>
      </w:r>
      <w:r w:rsidR="00F8743B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126,6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%.</w:t>
      </w:r>
    </w:p>
    <w:p w:rsidR="00256556" w:rsidRPr="00C86443" w:rsidRDefault="00256556" w:rsidP="00E75442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Производство основной продукции растениеводства представлено в таблице 1.</w:t>
      </w:r>
    </w:p>
    <w:p w:rsidR="001475EB" w:rsidRPr="00C86443" w:rsidRDefault="001475EB" w:rsidP="00E75442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56556" w:rsidRPr="00C86443" w:rsidRDefault="00256556" w:rsidP="00A61C15">
      <w:pPr>
        <w:spacing w:after="0" w:line="240" w:lineRule="auto"/>
        <w:ind w:firstLine="709"/>
        <w:jc w:val="center"/>
        <w:rPr>
          <w:rFonts w:ascii="Times New Roman" w:hAnsi="Times New Roman"/>
          <w:spacing w:val="-6"/>
          <w:w w:val="110"/>
          <w:sz w:val="24"/>
          <w:szCs w:val="24"/>
        </w:rPr>
      </w:pPr>
      <w:r w:rsidRPr="00C86443">
        <w:rPr>
          <w:rFonts w:ascii="Times New Roman" w:hAnsi="Times New Roman"/>
          <w:spacing w:val="-6"/>
          <w:w w:val="110"/>
          <w:sz w:val="24"/>
          <w:szCs w:val="24"/>
        </w:rPr>
        <w:t>Таблица 1. Производство основной продукции растениеводства</w:t>
      </w:r>
    </w:p>
    <w:tbl>
      <w:tblPr>
        <w:tblStyle w:val="12"/>
        <w:tblW w:w="0" w:type="auto"/>
        <w:jc w:val="center"/>
        <w:tblLook w:val="04A0"/>
      </w:tblPr>
      <w:tblGrid>
        <w:gridCol w:w="554"/>
        <w:gridCol w:w="2493"/>
        <w:gridCol w:w="818"/>
        <w:gridCol w:w="2084"/>
        <w:gridCol w:w="2084"/>
        <w:gridCol w:w="2085"/>
      </w:tblGrid>
      <w:tr w:rsidR="00256556" w:rsidRPr="00C86443" w:rsidTr="00923835">
        <w:trPr>
          <w:jc w:val="center"/>
        </w:trPr>
        <w:tc>
          <w:tcPr>
            <w:tcW w:w="540" w:type="dxa"/>
            <w:vAlign w:val="center"/>
          </w:tcPr>
          <w:p w:rsidR="00256556" w:rsidRPr="00C86443" w:rsidRDefault="00256556" w:rsidP="00923835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6"/>
                <w:w w:val="110"/>
                <w:sz w:val="24"/>
                <w:szCs w:val="24"/>
              </w:rPr>
            </w:pPr>
            <w:r w:rsidRPr="00C86443">
              <w:rPr>
                <w:spacing w:val="-6"/>
                <w:w w:val="110"/>
                <w:sz w:val="24"/>
                <w:szCs w:val="24"/>
              </w:rPr>
              <w:t>№ п/п</w:t>
            </w:r>
          </w:p>
        </w:tc>
        <w:tc>
          <w:tcPr>
            <w:tcW w:w="2493" w:type="dxa"/>
            <w:vAlign w:val="center"/>
          </w:tcPr>
          <w:p w:rsidR="00256556" w:rsidRPr="00C86443" w:rsidRDefault="00256556" w:rsidP="00923835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6"/>
                <w:w w:val="110"/>
                <w:sz w:val="24"/>
                <w:szCs w:val="24"/>
              </w:rPr>
            </w:pPr>
            <w:r w:rsidRPr="00C86443">
              <w:rPr>
                <w:spacing w:val="-6"/>
                <w:w w:val="11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18" w:type="dxa"/>
            <w:vAlign w:val="center"/>
          </w:tcPr>
          <w:p w:rsidR="00256556" w:rsidRPr="00C86443" w:rsidRDefault="00256556" w:rsidP="00923835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6"/>
                <w:w w:val="110"/>
                <w:sz w:val="24"/>
                <w:szCs w:val="24"/>
              </w:rPr>
            </w:pPr>
            <w:r w:rsidRPr="00C86443">
              <w:rPr>
                <w:spacing w:val="-6"/>
                <w:w w:val="110"/>
                <w:sz w:val="24"/>
                <w:szCs w:val="24"/>
              </w:rPr>
              <w:t>Ед.</w:t>
            </w:r>
          </w:p>
          <w:p w:rsidR="00256556" w:rsidRPr="00C86443" w:rsidRDefault="00256556" w:rsidP="00923835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6"/>
                <w:w w:val="110"/>
                <w:sz w:val="24"/>
                <w:szCs w:val="24"/>
              </w:rPr>
            </w:pPr>
            <w:proofErr w:type="spellStart"/>
            <w:r w:rsidRPr="00C86443">
              <w:rPr>
                <w:spacing w:val="-6"/>
                <w:w w:val="110"/>
                <w:sz w:val="24"/>
                <w:szCs w:val="24"/>
              </w:rPr>
              <w:t>изм</w:t>
            </w:r>
            <w:proofErr w:type="spellEnd"/>
            <w:r w:rsidRPr="00C86443">
              <w:rPr>
                <w:spacing w:val="-6"/>
                <w:w w:val="110"/>
                <w:sz w:val="24"/>
                <w:szCs w:val="24"/>
              </w:rPr>
              <w:t>.</w:t>
            </w:r>
          </w:p>
        </w:tc>
        <w:tc>
          <w:tcPr>
            <w:tcW w:w="2084" w:type="dxa"/>
            <w:vAlign w:val="center"/>
          </w:tcPr>
          <w:p w:rsidR="00256556" w:rsidRPr="00C86443" w:rsidRDefault="00256556" w:rsidP="00923835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6"/>
                <w:w w:val="110"/>
                <w:sz w:val="24"/>
                <w:szCs w:val="24"/>
              </w:rPr>
            </w:pPr>
            <w:r w:rsidRPr="00C86443">
              <w:rPr>
                <w:spacing w:val="-6"/>
                <w:w w:val="110"/>
                <w:sz w:val="24"/>
                <w:szCs w:val="24"/>
              </w:rPr>
              <w:t>2021г.</w:t>
            </w:r>
          </w:p>
        </w:tc>
        <w:tc>
          <w:tcPr>
            <w:tcW w:w="2084" w:type="dxa"/>
            <w:vAlign w:val="center"/>
          </w:tcPr>
          <w:p w:rsidR="00256556" w:rsidRPr="00C86443" w:rsidRDefault="00256556" w:rsidP="00923835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6"/>
                <w:w w:val="110"/>
                <w:sz w:val="24"/>
                <w:szCs w:val="24"/>
              </w:rPr>
            </w:pPr>
            <w:r w:rsidRPr="00C86443">
              <w:rPr>
                <w:spacing w:val="-6"/>
                <w:w w:val="110"/>
                <w:sz w:val="24"/>
                <w:szCs w:val="24"/>
              </w:rPr>
              <w:t>2022г.</w:t>
            </w:r>
          </w:p>
        </w:tc>
        <w:tc>
          <w:tcPr>
            <w:tcW w:w="2085" w:type="dxa"/>
            <w:vAlign w:val="center"/>
          </w:tcPr>
          <w:p w:rsidR="00256556" w:rsidRPr="00C86443" w:rsidRDefault="00256556" w:rsidP="00923835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6"/>
                <w:w w:val="110"/>
                <w:sz w:val="24"/>
                <w:szCs w:val="24"/>
              </w:rPr>
            </w:pPr>
            <w:r w:rsidRPr="00C86443">
              <w:rPr>
                <w:spacing w:val="-6"/>
                <w:w w:val="110"/>
                <w:sz w:val="24"/>
                <w:szCs w:val="24"/>
              </w:rPr>
              <w:t>2022г. в % к 2021г.</w:t>
            </w:r>
          </w:p>
        </w:tc>
      </w:tr>
      <w:tr w:rsidR="00256556" w:rsidRPr="00C86443" w:rsidTr="00923835">
        <w:trPr>
          <w:jc w:val="center"/>
        </w:trPr>
        <w:tc>
          <w:tcPr>
            <w:tcW w:w="540" w:type="dxa"/>
            <w:vAlign w:val="center"/>
          </w:tcPr>
          <w:p w:rsidR="00256556" w:rsidRPr="00C86443" w:rsidRDefault="00256556" w:rsidP="00923835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6"/>
                <w:w w:val="110"/>
                <w:sz w:val="24"/>
                <w:szCs w:val="24"/>
              </w:rPr>
            </w:pPr>
            <w:r w:rsidRPr="00C86443">
              <w:rPr>
                <w:spacing w:val="-6"/>
                <w:w w:val="110"/>
                <w:sz w:val="24"/>
                <w:szCs w:val="24"/>
              </w:rPr>
              <w:t>1</w:t>
            </w:r>
          </w:p>
        </w:tc>
        <w:tc>
          <w:tcPr>
            <w:tcW w:w="2493" w:type="dxa"/>
            <w:vAlign w:val="center"/>
          </w:tcPr>
          <w:p w:rsidR="00256556" w:rsidRPr="00C86443" w:rsidRDefault="00256556" w:rsidP="00923835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6"/>
                <w:w w:val="110"/>
                <w:sz w:val="24"/>
                <w:szCs w:val="24"/>
              </w:rPr>
            </w:pPr>
            <w:r w:rsidRPr="00C86443">
              <w:rPr>
                <w:spacing w:val="-6"/>
                <w:w w:val="110"/>
                <w:sz w:val="24"/>
                <w:szCs w:val="24"/>
              </w:rPr>
              <w:t xml:space="preserve">Зерно (в </w:t>
            </w:r>
            <w:proofErr w:type="gramStart"/>
            <w:r w:rsidRPr="00C86443">
              <w:rPr>
                <w:spacing w:val="-6"/>
                <w:w w:val="110"/>
                <w:sz w:val="24"/>
                <w:szCs w:val="24"/>
              </w:rPr>
              <w:t>весе</w:t>
            </w:r>
            <w:proofErr w:type="gramEnd"/>
            <w:r w:rsidRPr="00C86443">
              <w:rPr>
                <w:spacing w:val="-6"/>
                <w:w w:val="110"/>
                <w:sz w:val="24"/>
                <w:szCs w:val="24"/>
              </w:rPr>
              <w:t xml:space="preserve"> после доработки)</w:t>
            </w:r>
          </w:p>
        </w:tc>
        <w:tc>
          <w:tcPr>
            <w:tcW w:w="818" w:type="dxa"/>
            <w:vAlign w:val="center"/>
          </w:tcPr>
          <w:p w:rsidR="00256556" w:rsidRPr="00C86443" w:rsidRDefault="00256556" w:rsidP="00923835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6"/>
                <w:w w:val="110"/>
                <w:sz w:val="24"/>
                <w:szCs w:val="24"/>
              </w:rPr>
            </w:pPr>
            <w:r w:rsidRPr="00C86443">
              <w:rPr>
                <w:spacing w:val="-6"/>
                <w:w w:val="110"/>
                <w:sz w:val="24"/>
                <w:szCs w:val="24"/>
              </w:rPr>
              <w:t>тонн</w:t>
            </w:r>
          </w:p>
        </w:tc>
        <w:tc>
          <w:tcPr>
            <w:tcW w:w="2084" w:type="dxa"/>
            <w:vAlign w:val="center"/>
          </w:tcPr>
          <w:p w:rsidR="00256556" w:rsidRPr="00C86443" w:rsidRDefault="00256556" w:rsidP="00923835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6"/>
                <w:w w:val="110"/>
                <w:sz w:val="24"/>
                <w:szCs w:val="24"/>
              </w:rPr>
            </w:pPr>
            <w:r w:rsidRPr="00C86443">
              <w:rPr>
                <w:spacing w:val="-6"/>
                <w:w w:val="110"/>
                <w:sz w:val="24"/>
                <w:szCs w:val="24"/>
              </w:rPr>
              <w:t>24623,8</w:t>
            </w:r>
          </w:p>
        </w:tc>
        <w:tc>
          <w:tcPr>
            <w:tcW w:w="2084" w:type="dxa"/>
            <w:vAlign w:val="center"/>
          </w:tcPr>
          <w:p w:rsidR="00256556" w:rsidRPr="00C86443" w:rsidRDefault="00256556" w:rsidP="00923835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6"/>
                <w:w w:val="110"/>
                <w:sz w:val="24"/>
                <w:szCs w:val="24"/>
              </w:rPr>
            </w:pPr>
            <w:r w:rsidRPr="00C86443">
              <w:rPr>
                <w:spacing w:val="-6"/>
                <w:w w:val="110"/>
                <w:sz w:val="24"/>
                <w:szCs w:val="24"/>
              </w:rPr>
              <w:t>50747,4</w:t>
            </w:r>
          </w:p>
        </w:tc>
        <w:tc>
          <w:tcPr>
            <w:tcW w:w="2085" w:type="dxa"/>
            <w:vAlign w:val="center"/>
          </w:tcPr>
          <w:p w:rsidR="00256556" w:rsidRPr="00C86443" w:rsidRDefault="00256556" w:rsidP="00923835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6"/>
                <w:w w:val="110"/>
                <w:sz w:val="24"/>
                <w:szCs w:val="24"/>
              </w:rPr>
            </w:pPr>
            <w:r w:rsidRPr="00C86443">
              <w:rPr>
                <w:spacing w:val="-6"/>
                <w:w w:val="110"/>
                <w:sz w:val="24"/>
                <w:szCs w:val="24"/>
              </w:rPr>
              <w:t>206,1</w:t>
            </w:r>
          </w:p>
        </w:tc>
      </w:tr>
      <w:tr w:rsidR="00256556" w:rsidRPr="00C86443" w:rsidTr="00923835">
        <w:trPr>
          <w:jc w:val="center"/>
        </w:trPr>
        <w:tc>
          <w:tcPr>
            <w:tcW w:w="540" w:type="dxa"/>
            <w:vAlign w:val="center"/>
          </w:tcPr>
          <w:p w:rsidR="00256556" w:rsidRPr="00C86443" w:rsidRDefault="00256556" w:rsidP="00923835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6"/>
                <w:w w:val="110"/>
                <w:sz w:val="24"/>
                <w:szCs w:val="24"/>
              </w:rPr>
            </w:pPr>
            <w:r w:rsidRPr="00C86443">
              <w:rPr>
                <w:spacing w:val="-6"/>
                <w:w w:val="110"/>
                <w:sz w:val="24"/>
                <w:szCs w:val="24"/>
              </w:rPr>
              <w:t>2</w:t>
            </w:r>
          </w:p>
        </w:tc>
        <w:tc>
          <w:tcPr>
            <w:tcW w:w="2493" w:type="dxa"/>
            <w:vAlign w:val="center"/>
          </w:tcPr>
          <w:p w:rsidR="00256556" w:rsidRPr="00C86443" w:rsidRDefault="00256556" w:rsidP="00923835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6"/>
                <w:w w:val="110"/>
                <w:sz w:val="24"/>
                <w:szCs w:val="24"/>
              </w:rPr>
            </w:pPr>
            <w:r w:rsidRPr="00C86443">
              <w:rPr>
                <w:spacing w:val="-6"/>
                <w:w w:val="110"/>
                <w:sz w:val="24"/>
                <w:szCs w:val="24"/>
              </w:rPr>
              <w:t>Картофель</w:t>
            </w:r>
          </w:p>
        </w:tc>
        <w:tc>
          <w:tcPr>
            <w:tcW w:w="818" w:type="dxa"/>
            <w:vAlign w:val="center"/>
          </w:tcPr>
          <w:p w:rsidR="00256556" w:rsidRPr="00C86443" w:rsidRDefault="00256556" w:rsidP="00923835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6"/>
                <w:w w:val="110"/>
                <w:sz w:val="24"/>
                <w:szCs w:val="24"/>
              </w:rPr>
            </w:pPr>
            <w:r w:rsidRPr="00C86443">
              <w:rPr>
                <w:spacing w:val="-6"/>
                <w:w w:val="110"/>
                <w:sz w:val="24"/>
                <w:szCs w:val="24"/>
              </w:rPr>
              <w:t>тонн</w:t>
            </w:r>
          </w:p>
        </w:tc>
        <w:tc>
          <w:tcPr>
            <w:tcW w:w="2084" w:type="dxa"/>
            <w:vAlign w:val="center"/>
          </w:tcPr>
          <w:p w:rsidR="00256556" w:rsidRPr="00C86443" w:rsidRDefault="00256556" w:rsidP="00923835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6"/>
                <w:w w:val="110"/>
                <w:sz w:val="24"/>
                <w:szCs w:val="24"/>
              </w:rPr>
            </w:pPr>
            <w:r w:rsidRPr="00C86443">
              <w:rPr>
                <w:spacing w:val="-6"/>
                <w:w w:val="110"/>
                <w:sz w:val="24"/>
                <w:szCs w:val="24"/>
              </w:rPr>
              <w:t>14580</w:t>
            </w:r>
          </w:p>
        </w:tc>
        <w:tc>
          <w:tcPr>
            <w:tcW w:w="2084" w:type="dxa"/>
            <w:vAlign w:val="center"/>
          </w:tcPr>
          <w:p w:rsidR="00256556" w:rsidRPr="00C86443" w:rsidRDefault="00256556" w:rsidP="00923835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6"/>
                <w:w w:val="110"/>
                <w:sz w:val="24"/>
                <w:szCs w:val="24"/>
              </w:rPr>
            </w:pPr>
            <w:r w:rsidRPr="00C86443">
              <w:rPr>
                <w:spacing w:val="-6"/>
                <w:w w:val="110"/>
                <w:sz w:val="24"/>
                <w:szCs w:val="24"/>
              </w:rPr>
              <w:t>16654,9</w:t>
            </w:r>
          </w:p>
        </w:tc>
        <w:tc>
          <w:tcPr>
            <w:tcW w:w="2085" w:type="dxa"/>
            <w:vAlign w:val="center"/>
          </w:tcPr>
          <w:p w:rsidR="00256556" w:rsidRPr="00C86443" w:rsidRDefault="00256556" w:rsidP="00923835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6"/>
                <w:w w:val="110"/>
                <w:sz w:val="24"/>
                <w:szCs w:val="24"/>
              </w:rPr>
            </w:pPr>
            <w:r w:rsidRPr="00C86443">
              <w:rPr>
                <w:spacing w:val="-6"/>
                <w:w w:val="110"/>
                <w:sz w:val="24"/>
                <w:szCs w:val="24"/>
              </w:rPr>
              <w:t>114,2</w:t>
            </w:r>
          </w:p>
        </w:tc>
      </w:tr>
      <w:tr w:rsidR="00256556" w:rsidRPr="00C86443" w:rsidTr="00923835">
        <w:trPr>
          <w:jc w:val="center"/>
        </w:trPr>
        <w:tc>
          <w:tcPr>
            <w:tcW w:w="540" w:type="dxa"/>
            <w:vAlign w:val="center"/>
          </w:tcPr>
          <w:p w:rsidR="00256556" w:rsidRPr="00C86443" w:rsidRDefault="00256556" w:rsidP="00923835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6"/>
                <w:w w:val="110"/>
                <w:sz w:val="24"/>
                <w:szCs w:val="24"/>
              </w:rPr>
            </w:pPr>
            <w:r w:rsidRPr="00C86443">
              <w:rPr>
                <w:spacing w:val="-6"/>
                <w:w w:val="110"/>
                <w:sz w:val="24"/>
                <w:szCs w:val="24"/>
              </w:rPr>
              <w:t>3</w:t>
            </w:r>
          </w:p>
        </w:tc>
        <w:tc>
          <w:tcPr>
            <w:tcW w:w="2493" w:type="dxa"/>
            <w:vAlign w:val="center"/>
          </w:tcPr>
          <w:p w:rsidR="00256556" w:rsidRPr="00C86443" w:rsidRDefault="00256556" w:rsidP="00923835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6"/>
                <w:w w:val="110"/>
                <w:sz w:val="24"/>
                <w:szCs w:val="24"/>
              </w:rPr>
            </w:pPr>
            <w:r w:rsidRPr="00C86443">
              <w:rPr>
                <w:spacing w:val="-6"/>
                <w:w w:val="110"/>
                <w:sz w:val="24"/>
                <w:szCs w:val="24"/>
              </w:rPr>
              <w:t>Овощи всех видов</w:t>
            </w:r>
          </w:p>
        </w:tc>
        <w:tc>
          <w:tcPr>
            <w:tcW w:w="818" w:type="dxa"/>
            <w:vAlign w:val="center"/>
          </w:tcPr>
          <w:p w:rsidR="00256556" w:rsidRPr="00C86443" w:rsidRDefault="00256556" w:rsidP="00923835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6"/>
                <w:w w:val="110"/>
                <w:sz w:val="24"/>
                <w:szCs w:val="24"/>
              </w:rPr>
            </w:pPr>
            <w:r w:rsidRPr="00C86443">
              <w:rPr>
                <w:spacing w:val="-6"/>
                <w:w w:val="110"/>
                <w:sz w:val="24"/>
                <w:szCs w:val="24"/>
              </w:rPr>
              <w:t>тонн</w:t>
            </w:r>
          </w:p>
        </w:tc>
        <w:tc>
          <w:tcPr>
            <w:tcW w:w="2084" w:type="dxa"/>
            <w:vAlign w:val="center"/>
          </w:tcPr>
          <w:p w:rsidR="00256556" w:rsidRPr="00C86443" w:rsidRDefault="00256556" w:rsidP="00923835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6"/>
                <w:w w:val="110"/>
                <w:sz w:val="24"/>
                <w:szCs w:val="24"/>
              </w:rPr>
            </w:pPr>
            <w:r w:rsidRPr="00C86443">
              <w:rPr>
                <w:spacing w:val="-6"/>
                <w:w w:val="110"/>
                <w:sz w:val="24"/>
                <w:szCs w:val="24"/>
              </w:rPr>
              <w:t>5130</w:t>
            </w:r>
          </w:p>
        </w:tc>
        <w:tc>
          <w:tcPr>
            <w:tcW w:w="2084" w:type="dxa"/>
            <w:vAlign w:val="center"/>
          </w:tcPr>
          <w:p w:rsidR="00256556" w:rsidRPr="00C86443" w:rsidRDefault="00256556" w:rsidP="00923835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6"/>
                <w:w w:val="110"/>
                <w:sz w:val="24"/>
                <w:szCs w:val="24"/>
              </w:rPr>
            </w:pPr>
            <w:r w:rsidRPr="00C86443">
              <w:rPr>
                <w:spacing w:val="-6"/>
                <w:w w:val="110"/>
                <w:sz w:val="24"/>
                <w:szCs w:val="24"/>
              </w:rPr>
              <w:t>5365,7</w:t>
            </w:r>
          </w:p>
        </w:tc>
        <w:tc>
          <w:tcPr>
            <w:tcW w:w="2085" w:type="dxa"/>
            <w:vAlign w:val="center"/>
          </w:tcPr>
          <w:p w:rsidR="00256556" w:rsidRPr="00C86443" w:rsidRDefault="00256556" w:rsidP="00923835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6"/>
                <w:w w:val="110"/>
                <w:sz w:val="24"/>
                <w:szCs w:val="24"/>
              </w:rPr>
            </w:pPr>
            <w:r w:rsidRPr="00C86443">
              <w:rPr>
                <w:spacing w:val="-6"/>
                <w:w w:val="110"/>
                <w:sz w:val="24"/>
                <w:szCs w:val="24"/>
              </w:rPr>
              <w:t>104,6</w:t>
            </w:r>
          </w:p>
        </w:tc>
      </w:tr>
      <w:tr w:rsidR="00256556" w:rsidRPr="00C86443" w:rsidTr="00923835">
        <w:trPr>
          <w:jc w:val="center"/>
        </w:trPr>
        <w:tc>
          <w:tcPr>
            <w:tcW w:w="540" w:type="dxa"/>
            <w:vAlign w:val="center"/>
          </w:tcPr>
          <w:p w:rsidR="00256556" w:rsidRPr="00C86443" w:rsidRDefault="00256556" w:rsidP="00923835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6"/>
                <w:w w:val="110"/>
                <w:sz w:val="24"/>
                <w:szCs w:val="24"/>
              </w:rPr>
            </w:pPr>
            <w:r w:rsidRPr="00C86443">
              <w:rPr>
                <w:spacing w:val="-6"/>
                <w:w w:val="110"/>
                <w:sz w:val="24"/>
                <w:szCs w:val="24"/>
              </w:rPr>
              <w:t>4</w:t>
            </w:r>
          </w:p>
        </w:tc>
        <w:tc>
          <w:tcPr>
            <w:tcW w:w="2493" w:type="dxa"/>
            <w:vAlign w:val="center"/>
          </w:tcPr>
          <w:p w:rsidR="00256556" w:rsidRPr="00C86443" w:rsidRDefault="00256556" w:rsidP="00923835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6"/>
                <w:w w:val="110"/>
                <w:sz w:val="24"/>
                <w:szCs w:val="24"/>
              </w:rPr>
            </w:pPr>
            <w:r w:rsidRPr="00C86443">
              <w:rPr>
                <w:spacing w:val="-6"/>
                <w:w w:val="110"/>
                <w:sz w:val="24"/>
                <w:szCs w:val="24"/>
              </w:rPr>
              <w:t>Подсолнечник</w:t>
            </w:r>
          </w:p>
        </w:tc>
        <w:tc>
          <w:tcPr>
            <w:tcW w:w="818" w:type="dxa"/>
            <w:vAlign w:val="center"/>
          </w:tcPr>
          <w:p w:rsidR="00256556" w:rsidRPr="00C86443" w:rsidRDefault="00256556" w:rsidP="00923835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6"/>
                <w:w w:val="110"/>
                <w:sz w:val="24"/>
                <w:szCs w:val="24"/>
              </w:rPr>
            </w:pPr>
            <w:r w:rsidRPr="00C86443">
              <w:rPr>
                <w:spacing w:val="-6"/>
                <w:w w:val="110"/>
                <w:sz w:val="24"/>
                <w:szCs w:val="24"/>
              </w:rPr>
              <w:t>тонн</w:t>
            </w:r>
          </w:p>
        </w:tc>
        <w:tc>
          <w:tcPr>
            <w:tcW w:w="2084" w:type="dxa"/>
            <w:vAlign w:val="center"/>
          </w:tcPr>
          <w:p w:rsidR="00256556" w:rsidRPr="00C86443" w:rsidRDefault="00256556" w:rsidP="00923835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6"/>
                <w:w w:val="110"/>
                <w:sz w:val="24"/>
                <w:szCs w:val="24"/>
              </w:rPr>
            </w:pPr>
            <w:r w:rsidRPr="00C86443">
              <w:rPr>
                <w:spacing w:val="-6"/>
                <w:w w:val="110"/>
                <w:sz w:val="24"/>
                <w:szCs w:val="24"/>
              </w:rPr>
              <w:t>5586,1</w:t>
            </w:r>
          </w:p>
        </w:tc>
        <w:tc>
          <w:tcPr>
            <w:tcW w:w="2084" w:type="dxa"/>
            <w:vAlign w:val="center"/>
          </w:tcPr>
          <w:p w:rsidR="00256556" w:rsidRPr="00C86443" w:rsidRDefault="00256556" w:rsidP="00923835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6"/>
                <w:w w:val="110"/>
                <w:sz w:val="24"/>
                <w:szCs w:val="24"/>
              </w:rPr>
            </w:pPr>
            <w:r w:rsidRPr="00C86443">
              <w:rPr>
                <w:spacing w:val="-6"/>
                <w:w w:val="110"/>
                <w:sz w:val="24"/>
                <w:szCs w:val="24"/>
              </w:rPr>
              <w:t>2958,6</w:t>
            </w:r>
          </w:p>
        </w:tc>
        <w:tc>
          <w:tcPr>
            <w:tcW w:w="2085" w:type="dxa"/>
            <w:vAlign w:val="center"/>
          </w:tcPr>
          <w:p w:rsidR="00256556" w:rsidRPr="00C86443" w:rsidRDefault="00256556" w:rsidP="00923835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6"/>
                <w:w w:val="110"/>
                <w:sz w:val="24"/>
                <w:szCs w:val="24"/>
              </w:rPr>
            </w:pPr>
            <w:r w:rsidRPr="00C86443">
              <w:rPr>
                <w:spacing w:val="-6"/>
                <w:w w:val="110"/>
                <w:sz w:val="24"/>
                <w:szCs w:val="24"/>
              </w:rPr>
              <w:t>53,0</w:t>
            </w:r>
          </w:p>
        </w:tc>
      </w:tr>
    </w:tbl>
    <w:p w:rsidR="00256556" w:rsidRPr="00C86443" w:rsidRDefault="00256556" w:rsidP="00256556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w w:val="110"/>
          <w:sz w:val="24"/>
          <w:szCs w:val="24"/>
          <w:highlight w:val="yellow"/>
        </w:rPr>
      </w:pPr>
    </w:p>
    <w:p w:rsidR="00256556" w:rsidRPr="00C86443" w:rsidRDefault="00256556" w:rsidP="00E75442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Погода в полевом </w:t>
      </w:r>
      <w:proofErr w:type="gram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сезоне</w:t>
      </w:r>
      <w:proofErr w:type="gram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2022 года благоприятствовала своевременному и качественному проведению сезонных полевых работ. Как следствие – высокая урожайность зерновых и зернобобовых культур, в среднем по району она составила 23 </w:t>
      </w:r>
      <w:proofErr w:type="spell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ц</w:t>
      </w:r>
      <w:proofErr w:type="spell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/га (2021г. – 12,6 </w:t>
      </w:r>
      <w:proofErr w:type="spell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ц</w:t>
      </w:r>
      <w:proofErr w:type="spell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/га). Средняя урожайность озимой пшеницы по району – 37,8 </w:t>
      </w:r>
      <w:proofErr w:type="spell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ц</w:t>
      </w:r>
      <w:proofErr w:type="spell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/га, в некоторых хозяйствах она достигала 50 </w:t>
      </w:r>
      <w:proofErr w:type="spell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ц</w:t>
      </w:r>
      <w:proofErr w:type="spell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/га. Средняя урожайность ячменя – 25,5 </w:t>
      </w:r>
      <w:proofErr w:type="spell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ц</w:t>
      </w:r>
      <w:proofErr w:type="spell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/га, в некоторых хозяйствах – 37 </w:t>
      </w:r>
      <w:proofErr w:type="spell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ц</w:t>
      </w:r>
      <w:proofErr w:type="spell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/га. Намолот зерновых и зернобобовых культур в первоначальном весе приблизился к 55 тысячам тонн. В весе после доработки намолот составил 50747,4 тонн (206,1% к уровню прошлого года). Несмотря на увеличение объемов произведенного зерна, </w:t>
      </w:r>
      <w:proofErr w:type="spell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сельхозтоваропроизводители</w:t>
      </w:r>
      <w:proofErr w:type="spell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не получили запланированный объем выручки. За счет рекордного урожая в целом по России, и слабом экспорте, цены на зерно по сравнению с прошлым годом снизились более чем на 30%. Поэтому аграрии были вынуждены придержать полученный урожай на складах.</w:t>
      </w:r>
    </w:p>
    <w:p w:rsidR="00256556" w:rsidRPr="00C86443" w:rsidRDefault="00256556" w:rsidP="00E75442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Ввиду обильных осенних осадков, раннего установления снежного покрова, хозяйствам не удалось в полном </w:t>
      </w:r>
      <w:proofErr w:type="gram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объеме</w:t>
      </w:r>
      <w:proofErr w:type="gram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технологические сроки убрать подсолнечник на зерно. В итоге подсолнечник на зерно убран на площади 3698 га, что составило 69% посевных площадей, при средней урожайности 8 </w:t>
      </w:r>
      <w:proofErr w:type="spell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ц</w:t>
      </w:r>
      <w:proofErr w:type="spell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/га. </w:t>
      </w:r>
    </w:p>
    <w:p w:rsidR="00256556" w:rsidRPr="00C86443" w:rsidRDefault="00256556" w:rsidP="00E75442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Валовой сбор картофеля во всех категориях хозяйств составил 16654,9 тонн, при средней урожайности 129,5 </w:t>
      </w:r>
      <w:proofErr w:type="spell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ц</w:t>
      </w:r>
      <w:proofErr w:type="spell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/га, валовой сбор овощей – 5365,7 тонн, при средней урожайности – 235,9 </w:t>
      </w:r>
      <w:proofErr w:type="spell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ц</w:t>
      </w:r>
      <w:proofErr w:type="spell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/га.</w:t>
      </w:r>
    </w:p>
    <w:p w:rsidR="00256556" w:rsidRPr="00C86443" w:rsidRDefault="00256556" w:rsidP="00E75442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Положительным моментом по итогам посевной кампании 2022 года является увеличение общей посевной площади на 47,3 га. Площадь масличных культур увеличилась на 1915 га, в т.ч. площадь подсолнечника – на 627 га, рыжика – на 2730 га. Площадь кормовых культур увеличилась на 1174,8 га. В то же время сократились посевные площади зерновых и зернобобовых культур на 2964 га, картофеля – на 3 га, овощей – на 14,9 га. Значительное увеличение площадей технических культур, и сокращение зерновых и зернобобовых культур, 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обусловлено высокой долей в структуре посевных площадей ООО «Северная Нива Башкирия». В личных хозяйствах населения сократились площади картофеля, овощных культур.</w:t>
      </w:r>
    </w:p>
    <w:p w:rsidR="00256556" w:rsidRPr="00C86443" w:rsidRDefault="00256556" w:rsidP="00E75442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Продукции животноводства в 2022 году было произведено на сумму </w:t>
      </w:r>
      <w:r w:rsidR="00C07425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3119,77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млн. рублей или 6</w:t>
      </w:r>
      <w:r w:rsidR="00C07425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7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% в общем объеме валовой продукции сельского хозяйства. Индекс производства продукции животноводства в сопоставимых ценах составил </w:t>
      </w:r>
      <w:r w:rsidR="00C07425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214,5</w:t>
      </w: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%.</w:t>
      </w:r>
    </w:p>
    <w:p w:rsidR="00256556" w:rsidRPr="00C86443" w:rsidRDefault="00256556" w:rsidP="00E75442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Значительное увеличение производства продукции животноводства произошло за счет реализации инвестиционных проектов в области свиноводства ООО «Башкирская мясная компания», ООО «Уральская мясная компания» –  достигнуто увеличение поголовья свиней на 51692 голов и, соответственно, объема выращенного скота в живом весе на 151139 </w:t>
      </w:r>
      <w:proofErr w:type="spell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ц</w:t>
      </w:r>
      <w:proofErr w:type="spell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или в 3,4 раза. </w:t>
      </w:r>
    </w:p>
    <w:p w:rsidR="00256556" w:rsidRPr="00C86443" w:rsidRDefault="00256556" w:rsidP="00E75442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то же время произошло снижение производства молока на 2758,5 тонн, яиц – на 985 тыс. штук. Снижение производства </w:t>
      </w:r>
      <w:proofErr w:type="gramStart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молока произошло за счет сокращения поголовья коров</w:t>
      </w:r>
      <w:proofErr w:type="gramEnd"/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во всех категориях хозяйств. </w:t>
      </w:r>
    </w:p>
    <w:p w:rsidR="00256556" w:rsidRPr="00C86443" w:rsidRDefault="00256556" w:rsidP="00E75442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Снижение производства яиц произошло в связи с прекращением производственной деятельности ООО «Птицефабрика».</w:t>
      </w:r>
    </w:p>
    <w:p w:rsidR="00A05914" w:rsidRPr="00C86443" w:rsidRDefault="00256556" w:rsidP="00E75442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Производство основной продукции животноводства </w:t>
      </w:r>
      <w:r w:rsidR="00E75442" w:rsidRPr="00C86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представлено в таблице 2.</w:t>
      </w:r>
    </w:p>
    <w:p w:rsidR="00E75442" w:rsidRPr="00C86443" w:rsidRDefault="00E75442" w:rsidP="00E75442">
      <w:pPr>
        <w:tabs>
          <w:tab w:val="num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56556" w:rsidRPr="00C86443" w:rsidRDefault="00256556" w:rsidP="002565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6443">
        <w:rPr>
          <w:rFonts w:ascii="Times New Roman" w:eastAsia="Times New Roman" w:hAnsi="Times New Roman" w:cs="Times New Roman"/>
          <w:sz w:val="24"/>
          <w:szCs w:val="24"/>
        </w:rPr>
        <w:t>Таблица 2. Производство основной продукции животноводства</w:t>
      </w:r>
      <w:r w:rsidRPr="00C86443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12"/>
        <w:tblW w:w="0" w:type="auto"/>
        <w:jc w:val="center"/>
        <w:tblLook w:val="04A0"/>
      </w:tblPr>
      <w:tblGrid>
        <w:gridCol w:w="541"/>
        <w:gridCol w:w="2414"/>
        <w:gridCol w:w="1273"/>
        <w:gridCol w:w="1974"/>
        <w:gridCol w:w="1974"/>
        <w:gridCol w:w="1961"/>
      </w:tblGrid>
      <w:tr w:rsidR="00256556" w:rsidRPr="00C86443" w:rsidTr="00C07425">
        <w:trPr>
          <w:tblHeader/>
          <w:jc w:val="center"/>
        </w:trPr>
        <w:tc>
          <w:tcPr>
            <w:tcW w:w="541" w:type="dxa"/>
            <w:vAlign w:val="center"/>
          </w:tcPr>
          <w:p w:rsidR="00256556" w:rsidRPr="00C86443" w:rsidRDefault="00256556" w:rsidP="00923835">
            <w:pPr>
              <w:jc w:val="center"/>
              <w:rPr>
                <w:sz w:val="24"/>
                <w:szCs w:val="24"/>
              </w:rPr>
            </w:pPr>
            <w:r w:rsidRPr="00C86443">
              <w:rPr>
                <w:sz w:val="24"/>
                <w:szCs w:val="24"/>
              </w:rPr>
              <w:t>№ п/п</w:t>
            </w:r>
          </w:p>
        </w:tc>
        <w:tc>
          <w:tcPr>
            <w:tcW w:w="2414" w:type="dxa"/>
            <w:vAlign w:val="center"/>
          </w:tcPr>
          <w:p w:rsidR="00256556" w:rsidRPr="00C86443" w:rsidRDefault="00256556" w:rsidP="00923835">
            <w:pPr>
              <w:jc w:val="center"/>
              <w:rPr>
                <w:sz w:val="24"/>
                <w:szCs w:val="24"/>
              </w:rPr>
            </w:pPr>
            <w:r w:rsidRPr="00C8644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3" w:type="dxa"/>
            <w:vAlign w:val="center"/>
          </w:tcPr>
          <w:p w:rsidR="00256556" w:rsidRPr="00C86443" w:rsidRDefault="00256556" w:rsidP="00923835">
            <w:pPr>
              <w:jc w:val="center"/>
              <w:rPr>
                <w:sz w:val="24"/>
                <w:szCs w:val="24"/>
              </w:rPr>
            </w:pPr>
            <w:r w:rsidRPr="00C86443">
              <w:rPr>
                <w:sz w:val="24"/>
                <w:szCs w:val="24"/>
              </w:rPr>
              <w:t>Ед.</w:t>
            </w:r>
          </w:p>
          <w:p w:rsidR="00256556" w:rsidRPr="00C86443" w:rsidRDefault="00256556" w:rsidP="00923835">
            <w:pPr>
              <w:jc w:val="center"/>
              <w:rPr>
                <w:sz w:val="24"/>
                <w:szCs w:val="24"/>
              </w:rPr>
            </w:pPr>
            <w:proofErr w:type="spellStart"/>
            <w:r w:rsidRPr="00C86443">
              <w:rPr>
                <w:sz w:val="24"/>
                <w:szCs w:val="24"/>
              </w:rPr>
              <w:t>изм</w:t>
            </w:r>
            <w:proofErr w:type="spellEnd"/>
            <w:r w:rsidRPr="00C86443">
              <w:rPr>
                <w:sz w:val="24"/>
                <w:szCs w:val="24"/>
              </w:rPr>
              <w:t>.</w:t>
            </w:r>
          </w:p>
        </w:tc>
        <w:tc>
          <w:tcPr>
            <w:tcW w:w="1974" w:type="dxa"/>
            <w:vAlign w:val="center"/>
          </w:tcPr>
          <w:p w:rsidR="00256556" w:rsidRPr="00C86443" w:rsidRDefault="00256556" w:rsidP="00923835">
            <w:pPr>
              <w:jc w:val="center"/>
              <w:rPr>
                <w:sz w:val="24"/>
                <w:szCs w:val="24"/>
              </w:rPr>
            </w:pPr>
            <w:r w:rsidRPr="00C86443">
              <w:rPr>
                <w:sz w:val="24"/>
                <w:szCs w:val="24"/>
              </w:rPr>
              <w:t>2021г.</w:t>
            </w:r>
          </w:p>
        </w:tc>
        <w:tc>
          <w:tcPr>
            <w:tcW w:w="1974" w:type="dxa"/>
            <w:vAlign w:val="center"/>
          </w:tcPr>
          <w:p w:rsidR="00256556" w:rsidRPr="00C86443" w:rsidRDefault="00256556" w:rsidP="00923835">
            <w:pPr>
              <w:jc w:val="center"/>
              <w:rPr>
                <w:sz w:val="24"/>
                <w:szCs w:val="24"/>
              </w:rPr>
            </w:pPr>
            <w:r w:rsidRPr="00C86443">
              <w:rPr>
                <w:sz w:val="24"/>
                <w:szCs w:val="24"/>
              </w:rPr>
              <w:t>2022г.</w:t>
            </w:r>
          </w:p>
        </w:tc>
        <w:tc>
          <w:tcPr>
            <w:tcW w:w="1961" w:type="dxa"/>
            <w:vAlign w:val="center"/>
          </w:tcPr>
          <w:p w:rsidR="00256556" w:rsidRPr="00C86443" w:rsidRDefault="00256556" w:rsidP="00923835">
            <w:pPr>
              <w:jc w:val="center"/>
              <w:rPr>
                <w:sz w:val="24"/>
                <w:szCs w:val="24"/>
              </w:rPr>
            </w:pPr>
            <w:r w:rsidRPr="00C86443">
              <w:rPr>
                <w:sz w:val="24"/>
                <w:szCs w:val="24"/>
              </w:rPr>
              <w:t>2022г. в % к 2021г.</w:t>
            </w:r>
          </w:p>
        </w:tc>
      </w:tr>
      <w:tr w:rsidR="00C07425" w:rsidRPr="00C86443" w:rsidTr="00C07425">
        <w:trPr>
          <w:jc w:val="center"/>
        </w:trPr>
        <w:tc>
          <w:tcPr>
            <w:tcW w:w="541" w:type="dxa"/>
            <w:vAlign w:val="center"/>
          </w:tcPr>
          <w:p w:rsidR="00C07425" w:rsidRPr="00C86443" w:rsidRDefault="00C07425" w:rsidP="00C07425">
            <w:pPr>
              <w:jc w:val="center"/>
              <w:rPr>
                <w:sz w:val="24"/>
                <w:szCs w:val="24"/>
              </w:rPr>
            </w:pPr>
            <w:r w:rsidRPr="00C86443">
              <w:rPr>
                <w:sz w:val="24"/>
                <w:szCs w:val="24"/>
              </w:rPr>
              <w:t>1</w:t>
            </w:r>
          </w:p>
        </w:tc>
        <w:tc>
          <w:tcPr>
            <w:tcW w:w="2414" w:type="dxa"/>
            <w:vAlign w:val="center"/>
          </w:tcPr>
          <w:p w:rsidR="00C07425" w:rsidRPr="00C86443" w:rsidRDefault="00C07425" w:rsidP="00C07425">
            <w:pPr>
              <w:rPr>
                <w:sz w:val="24"/>
                <w:szCs w:val="24"/>
              </w:rPr>
            </w:pPr>
            <w:r w:rsidRPr="00C86443">
              <w:rPr>
                <w:sz w:val="24"/>
                <w:szCs w:val="24"/>
              </w:rPr>
              <w:t>Молоко</w:t>
            </w:r>
          </w:p>
        </w:tc>
        <w:tc>
          <w:tcPr>
            <w:tcW w:w="1273" w:type="dxa"/>
            <w:vAlign w:val="center"/>
          </w:tcPr>
          <w:p w:rsidR="00C07425" w:rsidRPr="00C86443" w:rsidRDefault="00C07425" w:rsidP="00C07425">
            <w:pPr>
              <w:jc w:val="center"/>
              <w:rPr>
                <w:sz w:val="24"/>
                <w:szCs w:val="24"/>
              </w:rPr>
            </w:pPr>
            <w:r w:rsidRPr="00C86443">
              <w:rPr>
                <w:sz w:val="24"/>
                <w:szCs w:val="24"/>
              </w:rPr>
              <w:t>тонн</w:t>
            </w:r>
          </w:p>
        </w:tc>
        <w:tc>
          <w:tcPr>
            <w:tcW w:w="1974" w:type="dxa"/>
            <w:vAlign w:val="center"/>
          </w:tcPr>
          <w:p w:rsidR="00C07425" w:rsidRPr="00C86443" w:rsidRDefault="00C07425" w:rsidP="00C07425">
            <w:pPr>
              <w:jc w:val="center"/>
              <w:rPr>
                <w:sz w:val="24"/>
                <w:szCs w:val="24"/>
              </w:rPr>
            </w:pPr>
            <w:r w:rsidRPr="00C86443">
              <w:rPr>
                <w:sz w:val="24"/>
                <w:szCs w:val="24"/>
              </w:rPr>
              <w:t>18740,5</w:t>
            </w:r>
          </w:p>
        </w:tc>
        <w:tc>
          <w:tcPr>
            <w:tcW w:w="1974" w:type="dxa"/>
            <w:vAlign w:val="center"/>
          </w:tcPr>
          <w:p w:rsidR="00C07425" w:rsidRPr="00C86443" w:rsidRDefault="00C07425" w:rsidP="00C07425">
            <w:pPr>
              <w:jc w:val="center"/>
              <w:rPr>
                <w:sz w:val="24"/>
                <w:szCs w:val="24"/>
              </w:rPr>
            </w:pPr>
            <w:r w:rsidRPr="00C86443">
              <w:rPr>
                <w:sz w:val="24"/>
                <w:szCs w:val="24"/>
              </w:rPr>
              <w:t>16321,1</w:t>
            </w:r>
          </w:p>
        </w:tc>
        <w:tc>
          <w:tcPr>
            <w:tcW w:w="1961" w:type="dxa"/>
            <w:vAlign w:val="center"/>
          </w:tcPr>
          <w:p w:rsidR="00C07425" w:rsidRPr="00C86443" w:rsidRDefault="00C07425" w:rsidP="00C07425">
            <w:pPr>
              <w:jc w:val="center"/>
              <w:rPr>
                <w:sz w:val="24"/>
                <w:szCs w:val="24"/>
              </w:rPr>
            </w:pPr>
            <w:r w:rsidRPr="00C86443">
              <w:rPr>
                <w:sz w:val="24"/>
                <w:szCs w:val="24"/>
              </w:rPr>
              <w:t>87,1</w:t>
            </w:r>
          </w:p>
        </w:tc>
      </w:tr>
      <w:tr w:rsidR="00C07425" w:rsidRPr="00C86443" w:rsidTr="00C07425">
        <w:trPr>
          <w:jc w:val="center"/>
        </w:trPr>
        <w:tc>
          <w:tcPr>
            <w:tcW w:w="541" w:type="dxa"/>
            <w:vAlign w:val="center"/>
          </w:tcPr>
          <w:p w:rsidR="00C07425" w:rsidRPr="00C86443" w:rsidRDefault="00C07425" w:rsidP="00C07425">
            <w:pPr>
              <w:jc w:val="center"/>
              <w:rPr>
                <w:sz w:val="24"/>
                <w:szCs w:val="24"/>
              </w:rPr>
            </w:pPr>
            <w:r w:rsidRPr="00C86443">
              <w:rPr>
                <w:sz w:val="24"/>
                <w:szCs w:val="24"/>
              </w:rPr>
              <w:t>2</w:t>
            </w:r>
          </w:p>
        </w:tc>
        <w:tc>
          <w:tcPr>
            <w:tcW w:w="2414" w:type="dxa"/>
            <w:vAlign w:val="center"/>
          </w:tcPr>
          <w:p w:rsidR="00C07425" w:rsidRPr="00C86443" w:rsidRDefault="00C07425" w:rsidP="00C07425">
            <w:pPr>
              <w:tabs>
                <w:tab w:val="left" w:pos="243"/>
                <w:tab w:val="center" w:pos="1860"/>
              </w:tabs>
              <w:rPr>
                <w:sz w:val="24"/>
                <w:szCs w:val="24"/>
              </w:rPr>
            </w:pPr>
            <w:r w:rsidRPr="00C86443">
              <w:rPr>
                <w:sz w:val="24"/>
                <w:szCs w:val="24"/>
              </w:rPr>
              <w:t xml:space="preserve">Скот и птица в на убой в </w:t>
            </w:r>
            <w:proofErr w:type="gramStart"/>
            <w:r w:rsidRPr="00C86443">
              <w:rPr>
                <w:sz w:val="24"/>
                <w:szCs w:val="24"/>
              </w:rPr>
              <w:t>живом</w:t>
            </w:r>
            <w:proofErr w:type="gramEnd"/>
            <w:r w:rsidRPr="00C86443">
              <w:rPr>
                <w:sz w:val="24"/>
                <w:szCs w:val="24"/>
              </w:rPr>
              <w:t xml:space="preserve"> весе </w:t>
            </w:r>
          </w:p>
        </w:tc>
        <w:tc>
          <w:tcPr>
            <w:tcW w:w="1273" w:type="dxa"/>
            <w:vAlign w:val="center"/>
          </w:tcPr>
          <w:p w:rsidR="00C07425" w:rsidRPr="00C86443" w:rsidRDefault="00C07425" w:rsidP="00C07425">
            <w:pPr>
              <w:jc w:val="center"/>
              <w:rPr>
                <w:sz w:val="24"/>
                <w:szCs w:val="24"/>
              </w:rPr>
            </w:pPr>
            <w:r w:rsidRPr="00C86443">
              <w:rPr>
                <w:sz w:val="24"/>
                <w:szCs w:val="24"/>
              </w:rPr>
              <w:t>тонн</w:t>
            </w:r>
          </w:p>
        </w:tc>
        <w:tc>
          <w:tcPr>
            <w:tcW w:w="1974" w:type="dxa"/>
            <w:vAlign w:val="center"/>
          </w:tcPr>
          <w:p w:rsidR="00C07425" w:rsidRPr="00C86443" w:rsidRDefault="00C07425" w:rsidP="00C07425">
            <w:pPr>
              <w:jc w:val="center"/>
              <w:rPr>
                <w:sz w:val="24"/>
                <w:szCs w:val="24"/>
              </w:rPr>
            </w:pPr>
            <w:r w:rsidRPr="00C86443">
              <w:rPr>
                <w:sz w:val="24"/>
                <w:szCs w:val="24"/>
              </w:rPr>
              <w:t>3849,9</w:t>
            </w:r>
          </w:p>
        </w:tc>
        <w:tc>
          <w:tcPr>
            <w:tcW w:w="1974" w:type="dxa"/>
            <w:vAlign w:val="center"/>
          </w:tcPr>
          <w:p w:rsidR="00C07425" w:rsidRPr="00C86443" w:rsidRDefault="00C07425" w:rsidP="00C07425">
            <w:pPr>
              <w:jc w:val="center"/>
              <w:rPr>
                <w:sz w:val="24"/>
                <w:szCs w:val="24"/>
              </w:rPr>
            </w:pPr>
            <w:r w:rsidRPr="00C86443">
              <w:rPr>
                <w:sz w:val="24"/>
                <w:szCs w:val="24"/>
              </w:rPr>
              <w:t>19091,3</w:t>
            </w:r>
          </w:p>
        </w:tc>
        <w:tc>
          <w:tcPr>
            <w:tcW w:w="1961" w:type="dxa"/>
            <w:vAlign w:val="center"/>
          </w:tcPr>
          <w:p w:rsidR="00C07425" w:rsidRPr="00C86443" w:rsidRDefault="00C07425" w:rsidP="00C07425">
            <w:pPr>
              <w:jc w:val="center"/>
              <w:rPr>
                <w:sz w:val="24"/>
                <w:szCs w:val="24"/>
              </w:rPr>
            </w:pPr>
            <w:r w:rsidRPr="00C86443">
              <w:rPr>
                <w:sz w:val="24"/>
                <w:szCs w:val="24"/>
              </w:rPr>
              <w:t>в 5 раз</w:t>
            </w:r>
          </w:p>
        </w:tc>
      </w:tr>
      <w:tr w:rsidR="00C07425" w:rsidRPr="00C86443" w:rsidTr="00C07425">
        <w:trPr>
          <w:jc w:val="center"/>
        </w:trPr>
        <w:tc>
          <w:tcPr>
            <w:tcW w:w="541" w:type="dxa"/>
            <w:vAlign w:val="center"/>
          </w:tcPr>
          <w:p w:rsidR="00C07425" w:rsidRPr="00C86443" w:rsidRDefault="00C07425" w:rsidP="00C07425">
            <w:pPr>
              <w:jc w:val="center"/>
              <w:rPr>
                <w:sz w:val="24"/>
                <w:szCs w:val="24"/>
              </w:rPr>
            </w:pPr>
            <w:r w:rsidRPr="00C86443">
              <w:rPr>
                <w:sz w:val="24"/>
                <w:szCs w:val="24"/>
              </w:rPr>
              <w:t>3</w:t>
            </w:r>
          </w:p>
        </w:tc>
        <w:tc>
          <w:tcPr>
            <w:tcW w:w="2414" w:type="dxa"/>
            <w:vAlign w:val="center"/>
          </w:tcPr>
          <w:p w:rsidR="00C07425" w:rsidRPr="00C86443" w:rsidRDefault="00C07425" w:rsidP="00C07425">
            <w:pPr>
              <w:rPr>
                <w:sz w:val="24"/>
                <w:szCs w:val="24"/>
              </w:rPr>
            </w:pPr>
            <w:r w:rsidRPr="00C86443">
              <w:rPr>
                <w:sz w:val="24"/>
                <w:szCs w:val="24"/>
              </w:rPr>
              <w:t>Яйца</w:t>
            </w:r>
          </w:p>
        </w:tc>
        <w:tc>
          <w:tcPr>
            <w:tcW w:w="1273" w:type="dxa"/>
            <w:vAlign w:val="center"/>
          </w:tcPr>
          <w:p w:rsidR="00C07425" w:rsidRPr="00C86443" w:rsidRDefault="00C07425" w:rsidP="00C07425">
            <w:pPr>
              <w:jc w:val="center"/>
              <w:rPr>
                <w:sz w:val="24"/>
                <w:szCs w:val="24"/>
              </w:rPr>
            </w:pPr>
            <w:r w:rsidRPr="00C86443">
              <w:rPr>
                <w:sz w:val="24"/>
                <w:szCs w:val="24"/>
              </w:rPr>
              <w:t>тыс.шт.</w:t>
            </w:r>
          </w:p>
        </w:tc>
        <w:tc>
          <w:tcPr>
            <w:tcW w:w="1974" w:type="dxa"/>
            <w:vAlign w:val="center"/>
          </w:tcPr>
          <w:p w:rsidR="00C07425" w:rsidRPr="00C86443" w:rsidRDefault="00C07425" w:rsidP="00C07425">
            <w:pPr>
              <w:jc w:val="center"/>
              <w:rPr>
                <w:sz w:val="24"/>
                <w:szCs w:val="24"/>
              </w:rPr>
            </w:pPr>
            <w:r w:rsidRPr="00C86443">
              <w:rPr>
                <w:sz w:val="24"/>
                <w:szCs w:val="24"/>
              </w:rPr>
              <w:t>3739</w:t>
            </w:r>
          </w:p>
        </w:tc>
        <w:tc>
          <w:tcPr>
            <w:tcW w:w="1974" w:type="dxa"/>
            <w:vAlign w:val="center"/>
          </w:tcPr>
          <w:p w:rsidR="00C07425" w:rsidRPr="00C86443" w:rsidRDefault="00C07425" w:rsidP="00C07425">
            <w:pPr>
              <w:jc w:val="center"/>
              <w:rPr>
                <w:sz w:val="24"/>
                <w:szCs w:val="24"/>
              </w:rPr>
            </w:pPr>
            <w:r w:rsidRPr="00C86443">
              <w:rPr>
                <w:sz w:val="24"/>
                <w:szCs w:val="24"/>
              </w:rPr>
              <w:t>2427</w:t>
            </w:r>
          </w:p>
        </w:tc>
        <w:tc>
          <w:tcPr>
            <w:tcW w:w="1961" w:type="dxa"/>
            <w:vAlign w:val="center"/>
          </w:tcPr>
          <w:p w:rsidR="00C07425" w:rsidRPr="00C86443" w:rsidRDefault="00C07425" w:rsidP="00C07425">
            <w:pPr>
              <w:jc w:val="center"/>
              <w:rPr>
                <w:sz w:val="24"/>
                <w:szCs w:val="24"/>
              </w:rPr>
            </w:pPr>
            <w:r w:rsidRPr="00C86443">
              <w:rPr>
                <w:sz w:val="24"/>
                <w:szCs w:val="24"/>
              </w:rPr>
              <w:t>64,9</w:t>
            </w:r>
          </w:p>
        </w:tc>
      </w:tr>
      <w:tr w:rsidR="00C07425" w:rsidRPr="00C86443" w:rsidTr="00C07425">
        <w:trPr>
          <w:jc w:val="center"/>
        </w:trPr>
        <w:tc>
          <w:tcPr>
            <w:tcW w:w="541" w:type="dxa"/>
            <w:vAlign w:val="center"/>
          </w:tcPr>
          <w:p w:rsidR="00C07425" w:rsidRPr="00C86443" w:rsidRDefault="00C07425" w:rsidP="00C07425">
            <w:pPr>
              <w:jc w:val="center"/>
              <w:rPr>
                <w:sz w:val="24"/>
                <w:szCs w:val="24"/>
              </w:rPr>
            </w:pPr>
            <w:r w:rsidRPr="00C86443">
              <w:rPr>
                <w:sz w:val="24"/>
                <w:szCs w:val="24"/>
              </w:rPr>
              <w:t>4</w:t>
            </w:r>
          </w:p>
        </w:tc>
        <w:tc>
          <w:tcPr>
            <w:tcW w:w="2414" w:type="dxa"/>
            <w:vAlign w:val="center"/>
          </w:tcPr>
          <w:p w:rsidR="00C07425" w:rsidRPr="00C86443" w:rsidRDefault="00C07425" w:rsidP="00C07425">
            <w:pPr>
              <w:rPr>
                <w:sz w:val="24"/>
                <w:szCs w:val="24"/>
              </w:rPr>
            </w:pPr>
            <w:r w:rsidRPr="00C86443">
              <w:rPr>
                <w:sz w:val="24"/>
                <w:szCs w:val="24"/>
              </w:rPr>
              <w:t>Шерсть</w:t>
            </w:r>
          </w:p>
        </w:tc>
        <w:tc>
          <w:tcPr>
            <w:tcW w:w="1273" w:type="dxa"/>
            <w:vAlign w:val="center"/>
          </w:tcPr>
          <w:p w:rsidR="00C07425" w:rsidRPr="00C86443" w:rsidRDefault="00C07425" w:rsidP="00C07425">
            <w:pPr>
              <w:jc w:val="center"/>
              <w:rPr>
                <w:sz w:val="24"/>
                <w:szCs w:val="24"/>
              </w:rPr>
            </w:pPr>
            <w:r w:rsidRPr="00C86443">
              <w:rPr>
                <w:sz w:val="24"/>
                <w:szCs w:val="24"/>
              </w:rPr>
              <w:t>центнеров</w:t>
            </w:r>
          </w:p>
        </w:tc>
        <w:tc>
          <w:tcPr>
            <w:tcW w:w="1974" w:type="dxa"/>
            <w:vAlign w:val="center"/>
          </w:tcPr>
          <w:p w:rsidR="00C07425" w:rsidRPr="00C86443" w:rsidRDefault="00C07425" w:rsidP="00C07425">
            <w:pPr>
              <w:jc w:val="center"/>
              <w:rPr>
                <w:sz w:val="24"/>
                <w:szCs w:val="24"/>
              </w:rPr>
            </w:pPr>
            <w:r w:rsidRPr="00C86443">
              <w:rPr>
                <w:sz w:val="24"/>
                <w:szCs w:val="24"/>
              </w:rPr>
              <w:t>223</w:t>
            </w:r>
          </w:p>
        </w:tc>
        <w:tc>
          <w:tcPr>
            <w:tcW w:w="1974" w:type="dxa"/>
            <w:vAlign w:val="center"/>
          </w:tcPr>
          <w:p w:rsidR="00C07425" w:rsidRPr="00C86443" w:rsidRDefault="00C07425" w:rsidP="00C07425">
            <w:pPr>
              <w:jc w:val="center"/>
              <w:rPr>
                <w:sz w:val="24"/>
                <w:szCs w:val="24"/>
              </w:rPr>
            </w:pPr>
            <w:r w:rsidRPr="00C86443">
              <w:rPr>
                <w:sz w:val="24"/>
                <w:szCs w:val="24"/>
              </w:rPr>
              <w:t>201</w:t>
            </w:r>
          </w:p>
        </w:tc>
        <w:tc>
          <w:tcPr>
            <w:tcW w:w="1961" w:type="dxa"/>
            <w:vAlign w:val="center"/>
          </w:tcPr>
          <w:p w:rsidR="00C07425" w:rsidRPr="00C86443" w:rsidRDefault="00C07425" w:rsidP="00C07425">
            <w:pPr>
              <w:jc w:val="center"/>
              <w:rPr>
                <w:sz w:val="24"/>
                <w:szCs w:val="24"/>
              </w:rPr>
            </w:pPr>
            <w:r w:rsidRPr="00C86443">
              <w:rPr>
                <w:sz w:val="24"/>
                <w:szCs w:val="24"/>
              </w:rPr>
              <w:t>90,1</w:t>
            </w:r>
          </w:p>
        </w:tc>
      </w:tr>
    </w:tbl>
    <w:p w:rsidR="00E75442" w:rsidRPr="00C86443" w:rsidRDefault="00E75442" w:rsidP="00E75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6556" w:rsidRPr="00C86443" w:rsidRDefault="00256556" w:rsidP="00256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На 2023 год производство валовой продукции сельского хозяйства прогнозируется на уровне </w:t>
      </w:r>
      <w:r w:rsidR="00C07425" w:rsidRPr="00C86443">
        <w:rPr>
          <w:rFonts w:ascii="Times New Roman" w:eastAsia="Times New Roman" w:hAnsi="Times New Roman" w:cs="Times New Roman"/>
          <w:sz w:val="24"/>
          <w:szCs w:val="24"/>
        </w:rPr>
        <w:t>108,82</w:t>
      </w:r>
      <w:r w:rsidRPr="00C86443">
        <w:rPr>
          <w:rFonts w:ascii="Times New Roman" w:eastAsia="Times New Roman" w:hAnsi="Times New Roman" w:cs="Times New Roman"/>
          <w:sz w:val="24"/>
          <w:szCs w:val="24"/>
        </w:rPr>
        <w:t>% в сопоставимых ценах к уровню 2022 года.</w:t>
      </w:r>
    </w:p>
    <w:p w:rsidR="00256556" w:rsidRPr="00C86443" w:rsidRDefault="00256556" w:rsidP="00256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Факторами увеличения производства валовой продукции в текущем году будут: </w:t>
      </w:r>
    </w:p>
    <w:p w:rsidR="00256556" w:rsidRPr="00C86443" w:rsidRDefault="00256556" w:rsidP="0025655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выход на плановую мощность животноводческой площадки «Донская» </w:t>
      </w:r>
      <w:r w:rsidRPr="00C86443">
        <w:rPr>
          <w:rFonts w:ascii="Times New Roman" w:eastAsia="Times New Roman" w:hAnsi="Times New Roman" w:cs="Times New Roman"/>
          <w:i/>
          <w:sz w:val="24"/>
          <w:szCs w:val="24"/>
        </w:rPr>
        <w:t>ООО «Башкирская мясная компания»</w:t>
      </w:r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 мощностью откорма 33 тысяч голов свиней, с плановым производством 9000 тонн мяса в живом весе. </w:t>
      </w:r>
    </w:p>
    <w:p w:rsidR="00256556" w:rsidRPr="00C86443" w:rsidRDefault="00256556" w:rsidP="0025655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выход на плановую мощность </w:t>
      </w:r>
      <w:proofErr w:type="spellStart"/>
      <w:r w:rsidRPr="00C86443">
        <w:rPr>
          <w:rFonts w:ascii="Times New Roman" w:eastAsia="Times New Roman" w:hAnsi="Times New Roman" w:cs="Times New Roman"/>
          <w:sz w:val="24"/>
          <w:szCs w:val="24"/>
        </w:rPr>
        <w:t>свинокомплекса</w:t>
      </w:r>
      <w:proofErr w:type="spellEnd"/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 (СК-1 «Шаровка») </w:t>
      </w:r>
      <w:r w:rsidRPr="00C86443">
        <w:rPr>
          <w:rFonts w:ascii="Times New Roman" w:eastAsia="Times New Roman" w:hAnsi="Times New Roman" w:cs="Times New Roman"/>
          <w:i/>
          <w:sz w:val="24"/>
          <w:szCs w:val="24"/>
        </w:rPr>
        <w:t xml:space="preserve">ООО «Уральская мясная компания». </w:t>
      </w:r>
    </w:p>
    <w:p w:rsidR="00256556" w:rsidRPr="00C86443" w:rsidRDefault="00256556" w:rsidP="0025655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443">
        <w:rPr>
          <w:rFonts w:ascii="Times New Roman" w:eastAsia="Times New Roman" w:hAnsi="Times New Roman" w:cs="Times New Roman"/>
          <w:sz w:val="24"/>
          <w:szCs w:val="24"/>
        </w:rPr>
        <w:t>увеличение валового сбора сельскохозяйственных культур за счет роста урожайности.</w:t>
      </w:r>
    </w:p>
    <w:p w:rsidR="00E75442" w:rsidRPr="00C86443" w:rsidRDefault="00E75442" w:rsidP="00E7544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Ранее в </w:t>
      </w:r>
      <w:r w:rsidRPr="00C86443">
        <w:rPr>
          <w:rFonts w:ascii="Times New Roman" w:eastAsia="Times New Roman" w:hAnsi="Times New Roman"/>
          <w:sz w:val="24"/>
          <w:szCs w:val="24"/>
        </w:rPr>
        <w:t xml:space="preserve">прогнозе социально-экономического развития муниципального района </w:t>
      </w:r>
      <w:r w:rsidRPr="00C86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подготовленного в июне 2023 года с учетом предварительных итогов социально-экономического развития муниципального района за январь-май 2023 года, </w:t>
      </w:r>
      <w:r w:rsidR="001914ED" w:rsidRPr="00C86443">
        <w:rPr>
          <w:rFonts w:ascii="Times New Roman" w:hAnsi="Times New Roman" w:cs="Times New Roman"/>
          <w:sz w:val="24"/>
          <w:szCs w:val="24"/>
          <w:shd w:val="clear" w:color="auto" w:fill="FFFFFF"/>
        </w:rPr>
        <w:t>показатель «</w:t>
      </w:r>
      <w:r w:rsidRPr="00C86443">
        <w:rPr>
          <w:rFonts w:ascii="Times New Roman" w:hAnsi="Times New Roman" w:cs="Times New Roman"/>
          <w:sz w:val="24"/>
          <w:szCs w:val="24"/>
          <w:shd w:val="clear" w:color="auto" w:fill="FFFFFF"/>
        </w:rPr>
        <w:t>Продукция сельского хозяйства во всех категориях хозяйств» был спрогнозирован на уровне 4321,28 в сопоставимых ценах и в 4381,66 в ценах соответствующих лет.</w:t>
      </w:r>
      <w:proofErr w:type="gramEnd"/>
      <w:r w:rsidRPr="00C86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Изменение вышеуказанного показателя произошло в связи с значительным изменением </w:t>
      </w:r>
      <w:proofErr w:type="spellStart"/>
      <w:r w:rsidRPr="00C86443">
        <w:rPr>
          <w:rFonts w:ascii="Times New Roman" w:hAnsi="Times New Roman" w:cs="Times New Roman"/>
          <w:sz w:val="24"/>
          <w:szCs w:val="24"/>
          <w:shd w:val="clear" w:color="auto" w:fill="FFFFFF"/>
        </w:rPr>
        <w:t>Башкортостанстатом</w:t>
      </w:r>
      <w:proofErr w:type="spellEnd"/>
      <w:r w:rsidRPr="00C86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валовой продукции сельского хозяйства за 2022 год (пересчет на 502 </w:t>
      </w:r>
      <w:r w:rsidR="00557EBA" w:rsidRPr="00C86443">
        <w:rPr>
          <w:rFonts w:ascii="Times New Roman" w:hAnsi="Times New Roman" w:cs="Times New Roman"/>
          <w:sz w:val="24"/>
          <w:szCs w:val="24"/>
          <w:shd w:val="clear" w:color="auto" w:fill="FFFFFF"/>
        </w:rPr>
        <w:t>млн. рублей</w:t>
      </w:r>
      <w:r w:rsidRPr="00C86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Также изменился фактический </w:t>
      </w:r>
      <w:r w:rsidR="0080315E" w:rsidRPr="00C86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индекс </w:t>
      </w:r>
      <w:r w:rsidRPr="00C86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производства валовой продукции за 2022 год. </w:t>
      </w:r>
    </w:p>
    <w:p w:rsidR="00C07425" w:rsidRPr="00C86443" w:rsidRDefault="00C07425" w:rsidP="00C07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6443">
        <w:rPr>
          <w:rFonts w:ascii="Times New Roman" w:eastAsia="Times New Roman" w:hAnsi="Times New Roman" w:cs="Times New Roman"/>
          <w:sz w:val="24"/>
          <w:szCs w:val="24"/>
        </w:rPr>
        <w:t>По оперативным данным, за январь-ноябрь 2023 года валовой продукции сельского хозяйства во всех категориях хозяйств в действующих ценах произведено на сумму 4668,6 млн. рублей или 108,7% к уровню 2022 года, в том числе продукция сельскохозяйственных предприятий – 3080,02 млн. рублей, продукция крестьянских (фермерских) хозяйств – 753,04 млн. рублей, продукция личных хозяйств населения – 835,54 млн. рублей.</w:t>
      </w:r>
      <w:proofErr w:type="gramEnd"/>
    </w:p>
    <w:p w:rsidR="00C07425" w:rsidRPr="00C86443" w:rsidRDefault="001914ED" w:rsidP="00C07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6443">
        <w:rPr>
          <w:rFonts w:ascii="Times New Roman" w:eastAsia="Times New Roman" w:hAnsi="Times New Roman" w:cs="Times New Roman"/>
          <w:sz w:val="24"/>
          <w:szCs w:val="24"/>
        </w:rPr>
        <w:t>В связи с завершением работ, получением фактических данных по итогам уборки урожая 2023 года, и</w:t>
      </w:r>
      <w:r w:rsidR="00C07425" w:rsidRPr="00C86443">
        <w:rPr>
          <w:rFonts w:ascii="Times New Roman" w:eastAsia="Times New Roman" w:hAnsi="Times New Roman" w:cs="Times New Roman"/>
          <w:sz w:val="24"/>
          <w:szCs w:val="24"/>
        </w:rPr>
        <w:t xml:space="preserve">ндекс производства продукции растениеводства в 2023 году прогнозируется на уровне 110,39%. Намолот зерновых и зернобобовых культур в первоначальном весе составил 55101,9 тонн, при средней урожайности 21,1 </w:t>
      </w:r>
      <w:proofErr w:type="spellStart"/>
      <w:r w:rsidR="00C07425" w:rsidRPr="00C86443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spellEnd"/>
      <w:r w:rsidR="00C07425" w:rsidRPr="00C86443">
        <w:rPr>
          <w:rFonts w:ascii="Times New Roman" w:eastAsia="Times New Roman" w:hAnsi="Times New Roman" w:cs="Times New Roman"/>
          <w:sz w:val="24"/>
          <w:szCs w:val="24"/>
        </w:rPr>
        <w:t>/га.</w:t>
      </w:r>
      <w:proofErr w:type="gramEnd"/>
      <w:r w:rsidR="00C07425" w:rsidRPr="00C86443">
        <w:rPr>
          <w:rFonts w:ascii="Times New Roman" w:eastAsia="Times New Roman" w:hAnsi="Times New Roman" w:cs="Times New Roman"/>
          <w:sz w:val="24"/>
          <w:szCs w:val="24"/>
        </w:rPr>
        <w:t xml:space="preserve"> Валовой сбор картофеля во всех категориях хозяйств составил 16974 тонн, при средней урожайности 135 </w:t>
      </w:r>
      <w:proofErr w:type="spellStart"/>
      <w:r w:rsidR="00C07425" w:rsidRPr="00C86443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spellEnd"/>
      <w:r w:rsidR="00C07425" w:rsidRPr="00C86443">
        <w:rPr>
          <w:rFonts w:ascii="Times New Roman" w:eastAsia="Times New Roman" w:hAnsi="Times New Roman" w:cs="Times New Roman"/>
          <w:sz w:val="24"/>
          <w:szCs w:val="24"/>
        </w:rPr>
        <w:t xml:space="preserve">/га. Предварительные итоги </w:t>
      </w:r>
      <w:r w:rsidR="00C07425" w:rsidRPr="00C86443">
        <w:rPr>
          <w:rFonts w:ascii="Times New Roman" w:eastAsia="Times New Roman" w:hAnsi="Times New Roman" w:cs="Times New Roman"/>
          <w:sz w:val="24"/>
          <w:szCs w:val="24"/>
        </w:rPr>
        <w:lastRenderedPageBreak/>
        <w:t>уборки урожая сельскохозяйственных культур 2023 года характеризуются следующими данными.</w:t>
      </w:r>
    </w:p>
    <w:p w:rsidR="00A05914" w:rsidRPr="00C86443" w:rsidRDefault="00A05914" w:rsidP="002565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6556" w:rsidRPr="00C86443" w:rsidRDefault="00256556" w:rsidP="002565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Таблица 3. </w:t>
      </w:r>
      <w:r w:rsidR="001475EB" w:rsidRPr="00C86443">
        <w:rPr>
          <w:rFonts w:ascii="Times New Roman" w:eastAsia="Times New Roman" w:hAnsi="Times New Roman" w:cs="Times New Roman"/>
          <w:sz w:val="24"/>
          <w:szCs w:val="24"/>
        </w:rPr>
        <w:t xml:space="preserve">Предварительные итоги уборки 2023 года </w:t>
      </w:r>
    </w:p>
    <w:tbl>
      <w:tblPr>
        <w:tblStyle w:val="a9"/>
        <w:tblW w:w="10066" w:type="dxa"/>
        <w:jc w:val="center"/>
        <w:tblLook w:val="04A0"/>
      </w:tblPr>
      <w:tblGrid>
        <w:gridCol w:w="513"/>
        <w:gridCol w:w="2887"/>
        <w:gridCol w:w="971"/>
        <w:gridCol w:w="1151"/>
        <w:gridCol w:w="995"/>
        <w:gridCol w:w="1230"/>
        <w:gridCol w:w="1102"/>
        <w:gridCol w:w="1217"/>
      </w:tblGrid>
      <w:tr w:rsidR="001475EB" w:rsidRPr="00C86443" w:rsidTr="001475EB">
        <w:trPr>
          <w:trHeight w:val="1308"/>
          <w:tblHeader/>
          <w:jc w:val="center"/>
        </w:trPr>
        <w:tc>
          <w:tcPr>
            <w:tcW w:w="499" w:type="dxa"/>
            <w:vAlign w:val="center"/>
          </w:tcPr>
          <w:p w:rsidR="001475EB" w:rsidRPr="00C86443" w:rsidRDefault="001475EB" w:rsidP="006541AB">
            <w:pPr>
              <w:jc w:val="center"/>
              <w:rPr>
                <w:sz w:val="22"/>
                <w:szCs w:val="22"/>
              </w:rPr>
            </w:pPr>
            <w:r w:rsidRPr="00C86443">
              <w:rPr>
                <w:sz w:val="22"/>
                <w:szCs w:val="22"/>
              </w:rPr>
              <w:t>№ п/п</w:t>
            </w:r>
          </w:p>
        </w:tc>
        <w:tc>
          <w:tcPr>
            <w:tcW w:w="2941" w:type="dxa"/>
            <w:vAlign w:val="center"/>
          </w:tcPr>
          <w:p w:rsidR="001475EB" w:rsidRPr="00C86443" w:rsidRDefault="001475EB" w:rsidP="006541AB">
            <w:pPr>
              <w:jc w:val="center"/>
              <w:rPr>
                <w:sz w:val="22"/>
                <w:szCs w:val="22"/>
              </w:rPr>
            </w:pPr>
            <w:r w:rsidRPr="00C8644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987" w:type="dxa"/>
            <w:vAlign w:val="center"/>
          </w:tcPr>
          <w:p w:rsidR="001475EB" w:rsidRPr="00C86443" w:rsidRDefault="001475EB" w:rsidP="006541AB">
            <w:pPr>
              <w:jc w:val="center"/>
              <w:rPr>
                <w:sz w:val="22"/>
                <w:szCs w:val="22"/>
              </w:rPr>
            </w:pPr>
            <w:r w:rsidRPr="00C86443">
              <w:rPr>
                <w:sz w:val="22"/>
                <w:szCs w:val="22"/>
              </w:rPr>
              <w:t>Ед.</w:t>
            </w:r>
          </w:p>
          <w:p w:rsidR="001475EB" w:rsidRPr="00C86443" w:rsidRDefault="001475EB" w:rsidP="006541AB">
            <w:pPr>
              <w:jc w:val="center"/>
              <w:rPr>
                <w:sz w:val="22"/>
                <w:szCs w:val="22"/>
              </w:rPr>
            </w:pPr>
            <w:proofErr w:type="spellStart"/>
            <w:r w:rsidRPr="00C86443">
              <w:rPr>
                <w:sz w:val="22"/>
                <w:szCs w:val="22"/>
              </w:rPr>
              <w:t>изм</w:t>
            </w:r>
            <w:proofErr w:type="spellEnd"/>
            <w:r w:rsidRPr="00C86443">
              <w:rPr>
                <w:sz w:val="22"/>
                <w:szCs w:val="22"/>
              </w:rPr>
              <w:t>.</w:t>
            </w:r>
          </w:p>
        </w:tc>
        <w:tc>
          <w:tcPr>
            <w:tcW w:w="1162" w:type="dxa"/>
            <w:vAlign w:val="center"/>
          </w:tcPr>
          <w:p w:rsidR="001475EB" w:rsidRPr="00C86443" w:rsidRDefault="001475EB" w:rsidP="006541A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86443">
              <w:rPr>
                <w:sz w:val="22"/>
                <w:szCs w:val="22"/>
              </w:rPr>
              <w:t>2022г.</w:t>
            </w:r>
          </w:p>
          <w:p w:rsidR="001475EB" w:rsidRPr="00C86443" w:rsidRDefault="001475EB" w:rsidP="006541A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86443">
              <w:rPr>
                <w:sz w:val="22"/>
                <w:szCs w:val="22"/>
              </w:rPr>
              <w:t xml:space="preserve"> факт</w:t>
            </w:r>
          </w:p>
        </w:tc>
        <w:tc>
          <w:tcPr>
            <w:tcW w:w="1005" w:type="dxa"/>
          </w:tcPr>
          <w:p w:rsidR="001475EB" w:rsidRPr="00C86443" w:rsidRDefault="001475EB" w:rsidP="006541A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475EB" w:rsidRPr="00C86443" w:rsidRDefault="001475EB" w:rsidP="006541A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86443">
              <w:rPr>
                <w:sz w:val="22"/>
                <w:szCs w:val="22"/>
              </w:rPr>
              <w:t>2023г. план</w:t>
            </w:r>
          </w:p>
        </w:tc>
        <w:tc>
          <w:tcPr>
            <w:tcW w:w="1134" w:type="dxa"/>
            <w:vAlign w:val="center"/>
          </w:tcPr>
          <w:p w:rsidR="001475EB" w:rsidRPr="00C86443" w:rsidRDefault="001475EB" w:rsidP="006541A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86443">
              <w:rPr>
                <w:sz w:val="22"/>
                <w:szCs w:val="22"/>
              </w:rPr>
              <w:t>2023г.</w:t>
            </w:r>
          </w:p>
          <w:p w:rsidR="001475EB" w:rsidRPr="00C86443" w:rsidRDefault="001475EB" w:rsidP="006541A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86443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C86443">
              <w:rPr>
                <w:sz w:val="22"/>
                <w:szCs w:val="22"/>
              </w:rPr>
              <w:t>предвари-тельные</w:t>
            </w:r>
            <w:proofErr w:type="spellEnd"/>
            <w:proofErr w:type="gramEnd"/>
            <w:r w:rsidRPr="00C86443">
              <w:rPr>
                <w:sz w:val="22"/>
                <w:szCs w:val="22"/>
              </w:rPr>
              <w:t xml:space="preserve"> итоги)</w:t>
            </w:r>
          </w:p>
        </w:tc>
        <w:tc>
          <w:tcPr>
            <w:tcW w:w="1117" w:type="dxa"/>
            <w:vAlign w:val="center"/>
          </w:tcPr>
          <w:p w:rsidR="001475EB" w:rsidRPr="00C86443" w:rsidRDefault="001475EB" w:rsidP="006541A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86443">
              <w:rPr>
                <w:sz w:val="22"/>
                <w:szCs w:val="22"/>
              </w:rPr>
              <w:t>2023г. в % к факту 2022г.</w:t>
            </w:r>
          </w:p>
        </w:tc>
        <w:tc>
          <w:tcPr>
            <w:tcW w:w="1221" w:type="dxa"/>
            <w:vAlign w:val="center"/>
          </w:tcPr>
          <w:p w:rsidR="001475EB" w:rsidRPr="00C86443" w:rsidRDefault="001475EB" w:rsidP="006541AB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86443">
              <w:rPr>
                <w:sz w:val="22"/>
                <w:szCs w:val="22"/>
              </w:rPr>
              <w:t>Выполне-ние</w:t>
            </w:r>
            <w:proofErr w:type="spellEnd"/>
            <w:proofErr w:type="gramEnd"/>
            <w:r w:rsidRPr="00C86443">
              <w:rPr>
                <w:sz w:val="22"/>
                <w:szCs w:val="22"/>
              </w:rPr>
              <w:t xml:space="preserve"> плана 2023г.</w:t>
            </w:r>
          </w:p>
        </w:tc>
      </w:tr>
      <w:tr w:rsidR="001475EB" w:rsidRPr="00C86443" w:rsidTr="001475EB">
        <w:trPr>
          <w:trHeight w:val="591"/>
          <w:jc w:val="center"/>
        </w:trPr>
        <w:tc>
          <w:tcPr>
            <w:tcW w:w="499" w:type="dxa"/>
            <w:vAlign w:val="center"/>
          </w:tcPr>
          <w:p w:rsidR="001475EB" w:rsidRPr="00C86443" w:rsidRDefault="001475EB" w:rsidP="006541AB">
            <w:pPr>
              <w:jc w:val="center"/>
              <w:rPr>
                <w:sz w:val="22"/>
                <w:szCs w:val="22"/>
              </w:rPr>
            </w:pPr>
            <w:r w:rsidRPr="00C86443">
              <w:rPr>
                <w:sz w:val="22"/>
                <w:szCs w:val="22"/>
              </w:rPr>
              <w:t>1</w:t>
            </w:r>
          </w:p>
        </w:tc>
        <w:tc>
          <w:tcPr>
            <w:tcW w:w="2941" w:type="dxa"/>
            <w:vAlign w:val="center"/>
          </w:tcPr>
          <w:p w:rsidR="001475EB" w:rsidRPr="00C86443" w:rsidRDefault="001475EB" w:rsidP="006541AB">
            <w:pPr>
              <w:rPr>
                <w:sz w:val="22"/>
                <w:szCs w:val="22"/>
              </w:rPr>
            </w:pPr>
            <w:r w:rsidRPr="00C86443">
              <w:rPr>
                <w:sz w:val="22"/>
                <w:szCs w:val="22"/>
              </w:rPr>
              <w:t xml:space="preserve">Зерно (в первоначально оприходованном </w:t>
            </w:r>
            <w:proofErr w:type="gramStart"/>
            <w:r w:rsidRPr="00C86443">
              <w:rPr>
                <w:sz w:val="22"/>
                <w:szCs w:val="22"/>
              </w:rPr>
              <w:t>весе</w:t>
            </w:r>
            <w:proofErr w:type="gramEnd"/>
            <w:r w:rsidRPr="00C86443">
              <w:rPr>
                <w:sz w:val="22"/>
                <w:szCs w:val="22"/>
              </w:rPr>
              <w:t>)</w:t>
            </w:r>
          </w:p>
        </w:tc>
        <w:tc>
          <w:tcPr>
            <w:tcW w:w="987" w:type="dxa"/>
            <w:vAlign w:val="center"/>
          </w:tcPr>
          <w:p w:rsidR="001475EB" w:rsidRPr="00C86443" w:rsidRDefault="001475EB" w:rsidP="006541AB">
            <w:pPr>
              <w:jc w:val="center"/>
              <w:rPr>
                <w:sz w:val="22"/>
                <w:szCs w:val="22"/>
              </w:rPr>
            </w:pPr>
            <w:r w:rsidRPr="00C86443">
              <w:rPr>
                <w:sz w:val="22"/>
                <w:szCs w:val="22"/>
              </w:rPr>
              <w:t>тонн</w:t>
            </w:r>
          </w:p>
        </w:tc>
        <w:tc>
          <w:tcPr>
            <w:tcW w:w="1162" w:type="dxa"/>
            <w:vAlign w:val="center"/>
          </w:tcPr>
          <w:p w:rsidR="001475EB" w:rsidRPr="00C86443" w:rsidRDefault="001475EB" w:rsidP="006541A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86443">
              <w:rPr>
                <w:sz w:val="22"/>
                <w:szCs w:val="22"/>
              </w:rPr>
              <w:t>54249,7</w:t>
            </w:r>
          </w:p>
        </w:tc>
        <w:tc>
          <w:tcPr>
            <w:tcW w:w="1005" w:type="dxa"/>
            <w:vAlign w:val="center"/>
          </w:tcPr>
          <w:p w:rsidR="001475EB" w:rsidRPr="00C86443" w:rsidRDefault="001475EB" w:rsidP="006541A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86443">
              <w:rPr>
                <w:sz w:val="22"/>
                <w:szCs w:val="22"/>
              </w:rPr>
              <w:t>60400</w:t>
            </w:r>
          </w:p>
        </w:tc>
        <w:tc>
          <w:tcPr>
            <w:tcW w:w="1134" w:type="dxa"/>
            <w:vAlign w:val="center"/>
          </w:tcPr>
          <w:p w:rsidR="001475EB" w:rsidRPr="00C86443" w:rsidRDefault="001475EB" w:rsidP="006541A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86443">
              <w:rPr>
                <w:sz w:val="22"/>
                <w:szCs w:val="22"/>
              </w:rPr>
              <w:t>55101,9</w:t>
            </w:r>
          </w:p>
        </w:tc>
        <w:tc>
          <w:tcPr>
            <w:tcW w:w="1117" w:type="dxa"/>
            <w:vAlign w:val="center"/>
          </w:tcPr>
          <w:p w:rsidR="001475EB" w:rsidRPr="00C86443" w:rsidRDefault="001475EB" w:rsidP="006541A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86443">
              <w:rPr>
                <w:sz w:val="22"/>
                <w:szCs w:val="22"/>
              </w:rPr>
              <w:t>101,6</w:t>
            </w:r>
          </w:p>
        </w:tc>
        <w:tc>
          <w:tcPr>
            <w:tcW w:w="1221" w:type="dxa"/>
            <w:vAlign w:val="center"/>
          </w:tcPr>
          <w:p w:rsidR="001475EB" w:rsidRPr="00C86443" w:rsidRDefault="001475EB" w:rsidP="006541A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86443">
              <w:rPr>
                <w:sz w:val="22"/>
                <w:szCs w:val="22"/>
              </w:rPr>
              <w:t>91,2</w:t>
            </w:r>
          </w:p>
        </w:tc>
      </w:tr>
      <w:tr w:rsidR="001475EB" w:rsidRPr="00C86443" w:rsidTr="001475EB">
        <w:trPr>
          <w:trHeight w:val="591"/>
          <w:jc w:val="center"/>
        </w:trPr>
        <w:tc>
          <w:tcPr>
            <w:tcW w:w="499" w:type="dxa"/>
            <w:vAlign w:val="center"/>
          </w:tcPr>
          <w:p w:rsidR="001475EB" w:rsidRPr="00C86443" w:rsidRDefault="001475EB" w:rsidP="006541AB">
            <w:pPr>
              <w:jc w:val="center"/>
              <w:rPr>
                <w:sz w:val="22"/>
                <w:szCs w:val="22"/>
              </w:rPr>
            </w:pPr>
            <w:r w:rsidRPr="00C86443">
              <w:rPr>
                <w:sz w:val="22"/>
                <w:szCs w:val="22"/>
              </w:rPr>
              <w:t>2</w:t>
            </w:r>
          </w:p>
        </w:tc>
        <w:tc>
          <w:tcPr>
            <w:tcW w:w="2941" w:type="dxa"/>
            <w:vAlign w:val="center"/>
          </w:tcPr>
          <w:p w:rsidR="001475EB" w:rsidRPr="00C86443" w:rsidRDefault="001475EB" w:rsidP="006541AB">
            <w:pPr>
              <w:rPr>
                <w:sz w:val="22"/>
                <w:szCs w:val="22"/>
              </w:rPr>
            </w:pPr>
            <w:r w:rsidRPr="00C86443">
              <w:rPr>
                <w:sz w:val="22"/>
                <w:szCs w:val="22"/>
              </w:rPr>
              <w:t xml:space="preserve">Зерно (в </w:t>
            </w:r>
            <w:proofErr w:type="gramStart"/>
            <w:r w:rsidRPr="00C86443">
              <w:rPr>
                <w:sz w:val="22"/>
                <w:szCs w:val="22"/>
              </w:rPr>
              <w:t>весе</w:t>
            </w:r>
            <w:proofErr w:type="gramEnd"/>
            <w:r w:rsidRPr="00C86443">
              <w:rPr>
                <w:sz w:val="22"/>
                <w:szCs w:val="22"/>
              </w:rPr>
              <w:t xml:space="preserve"> после доработки)</w:t>
            </w:r>
          </w:p>
        </w:tc>
        <w:tc>
          <w:tcPr>
            <w:tcW w:w="987" w:type="dxa"/>
            <w:vAlign w:val="center"/>
          </w:tcPr>
          <w:p w:rsidR="001475EB" w:rsidRPr="00C86443" w:rsidRDefault="001475EB" w:rsidP="006541AB">
            <w:pPr>
              <w:jc w:val="center"/>
              <w:rPr>
                <w:sz w:val="22"/>
                <w:szCs w:val="22"/>
              </w:rPr>
            </w:pPr>
            <w:r w:rsidRPr="00C86443">
              <w:rPr>
                <w:sz w:val="22"/>
                <w:szCs w:val="22"/>
              </w:rPr>
              <w:t>тонн</w:t>
            </w:r>
          </w:p>
        </w:tc>
        <w:tc>
          <w:tcPr>
            <w:tcW w:w="1162" w:type="dxa"/>
            <w:vAlign w:val="center"/>
          </w:tcPr>
          <w:p w:rsidR="001475EB" w:rsidRPr="00C86443" w:rsidRDefault="001475EB" w:rsidP="006541A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86443">
              <w:rPr>
                <w:sz w:val="22"/>
                <w:szCs w:val="22"/>
              </w:rPr>
              <w:t>50747,4</w:t>
            </w:r>
          </w:p>
        </w:tc>
        <w:tc>
          <w:tcPr>
            <w:tcW w:w="1005" w:type="dxa"/>
            <w:vAlign w:val="center"/>
          </w:tcPr>
          <w:p w:rsidR="001475EB" w:rsidRPr="00C86443" w:rsidRDefault="001475EB" w:rsidP="006541A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86443">
              <w:rPr>
                <w:sz w:val="22"/>
                <w:szCs w:val="22"/>
              </w:rPr>
              <w:t>56170</w:t>
            </w:r>
          </w:p>
        </w:tc>
        <w:tc>
          <w:tcPr>
            <w:tcW w:w="1134" w:type="dxa"/>
            <w:vAlign w:val="center"/>
          </w:tcPr>
          <w:p w:rsidR="001475EB" w:rsidRPr="00C86443" w:rsidRDefault="001475EB" w:rsidP="006541A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86443">
              <w:rPr>
                <w:sz w:val="22"/>
                <w:szCs w:val="22"/>
              </w:rPr>
              <w:t>51798,0</w:t>
            </w:r>
          </w:p>
        </w:tc>
        <w:tc>
          <w:tcPr>
            <w:tcW w:w="1117" w:type="dxa"/>
            <w:vAlign w:val="center"/>
          </w:tcPr>
          <w:p w:rsidR="001475EB" w:rsidRPr="00C86443" w:rsidRDefault="001475EB" w:rsidP="006541A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86443">
              <w:rPr>
                <w:sz w:val="22"/>
                <w:szCs w:val="22"/>
              </w:rPr>
              <w:t>102,1</w:t>
            </w:r>
          </w:p>
        </w:tc>
        <w:tc>
          <w:tcPr>
            <w:tcW w:w="1221" w:type="dxa"/>
            <w:vAlign w:val="center"/>
          </w:tcPr>
          <w:p w:rsidR="001475EB" w:rsidRPr="00C86443" w:rsidRDefault="001475EB" w:rsidP="006541A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86443">
              <w:rPr>
                <w:sz w:val="22"/>
                <w:szCs w:val="22"/>
              </w:rPr>
              <w:t>92,2</w:t>
            </w:r>
          </w:p>
        </w:tc>
      </w:tr>
      <w:tr w:rsidR="001475EB" w:rsidRPr="00C86443" w:rsidTr="001475EB">
        <w:trPr>
          <w:trHeight w:val="346"/>
          <w:jc w:val="center"/>
        </w:trPr>
        <w:tc>
          <w:tcPr>
            <w:tcW w:w="499" w:type="dxa"/>
            <w:vAlign w:val="center"/>
          </w:tcPr>
          <w:p w:rsidR="001475EB" w:rsidRPr="00C86443" w:rsidRDefault="001475EB" w:rsidP="006541AB">
            <w:pPr>
              <w:jc w:val="center"/>
              <w:rPr>
                <w:sz w:val="22"/>
                <w:szCs w:val="22"/>
              </w:rPr>
            </w:pPr>
            <w:r w:rsidRPr="00C86443">
              <w:rPr>
                <w:sz w:val="22"/>
                <w:szCs w:val="22"/>
              </w:rPr>
              <w:t>3</w:t>
            </w:r>
          </w:p>
        </w:tc>
        <w:tc>
          <w:tcPr>
            <w:tcW w:w="2941" w:type="dxa"/>
            <w:vAlign w:val="center"/>
          </w:tcPr>
          <w:p w:rsidR="001475EB" w:rsidRPr="00C86443" w:rsidRDefault="001475EB" w:rsidP="006541AB">
            <w:pPr>
              <w:tabs>
                <w:tab w:val="left" w:pos="243"/>
                <w:tab w:val="center" w:pos="1860"/>
              </w:tabs>
              <w:rPr>
                <w:sz w:val="22"/>
                <w:szCs w:val="22"/>
              </w:rPr>
            </w:pPr>
            <w:r w:rsidRPr="00C86443">
              <w:rPr>
                <w:sz w:val="22"/>
                <w:szCs w:val="22"/>
              </w:rPr>
              <w:t>Картофель</w:t>
            </w:r>
          </w:p>
        </w:tc>
        <w:tc>
          <w:tcPr>
            <w:tcW w:w="987" w:type="dxa"/>
            <w:vAlign w:val="center"/>
          </w:tcPr>
          <w:p w:rsidR="001475EB" w:rsidRPr="00C86443" w:rsidRDefault="001475EB" w:rsidP="006541AB">
            <w:pPr>
              <w:jc w:val="center"/>
              <w:rPr>
                <w:sz w:val="22"/>
                <w:szCs w:val="22"/>
              </w:rPr>
            </w:pPr>
            <w:r w:rsidRPr="00C86443">
              <w:rPr>
                <w:sz w:val="22"/>
                <w:szCs w:val="22"/>
              </w:rPr>
              <w:t>тонн</w:t>
            </w:r>
          </w:p>
        </w:tc>
        <w:tc>
          <w:tcPr>
            <w:tcW w:w="1162" w:type="dxa"/>
            <w:vAlign w:val="center"/>
          </w:tcPr>
          <w:p w:rsidR="001475EB" w:rsidRPr="00C86443" w:rsidRDefault="001475EB" w:rsidP="006541A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86443">
              <w:rPr>
                <w:sz w:val="22"/>
                <w:szCs w:val="22"/>
              </w:rPr>
              <w:t>16654,9</w:t>
            </w:r>
          </w:p>
        </w:tc>
        <w:tc>
          <w:tcPr>
            <w:tcW w:w="1005" w:type="dxa"/>
            <w:vAlign w:val="center"/>
          </w:tcPr>
          <w:p w:rsidR="001475EB" w:rsidRPr="00C86443" w:rsidRDefault="001475EB" w:rsidP="006541A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86443">
              <w:rPr>
                <w:sz w:val="22"/>
                <w:szCs w:val="22"/>
              </w:rPr>
              <w:t>16670</w:t>
            </w:r>
          </w:p>
        </w:tc>
        <w:tc>
          <w:tcPr>
            <w:tcW w:w="1134" w:type="dxa"/>
            <w:vAlign w:val="center"/>
          </w:tcPr>
          <w:p w:rsidR="001475EB" w:rsidRPr="00C86443" w:rsidRDefault="001475EB" w:rsidP="006541A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86443">
              <w:rPr>
                <w:sz w:val="22"/>
                <w:szCs w:val="22"/>
              </w:rPr>
              <w:t>16974</w:t>
            </w:r>
          </w:p>
        </w:tc>
        <w:tc>
          <w:tcPr>
            <w:tcW w:w="1117" w:type="dxa"/>
            <w:vAlign w:val="center"/>
          </w:tcPr>
          <w:p w:rsidR="001475EB" w:rsidRPr="00C86443" w:rsidRDefault="001475EB" w:rsidP="006541A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86443">
              <w:rPr>
                <w:sz w:val="22"/>
                <w:szCs w:val="22"/>
              </w:rPr>
              <w:t>101,9</w:t>
            </w:r>
          </w:p>
        </w:tc>
        <w:tc>
          <w:tcPr>
            <w:tcW w:w="1221" w:type="dxa"/>
            <w:vAlign w:val="center"/>
          </w:tcPr>
          <w:p w:rsidR="001475EB" w:rsidRPr="00C86443" w:rsidRDefault="001475EB" w:rsidP="006541A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86443">
              <w:rPr>
                <w:sz w:val="22"/>
                <w:szCs w:val="22"/>
              </w:rPr>
              <w:t>101,8</w:t>
            </w:r>
          </w:p>
        </w:tc>
      </w:tr>
      <w:tr w:rsidR="001475EB" w:rsidRPr="00C86443" w:rsidTr="001475EB">
        <w:trPr>
          <w:trHeight w:val="334"/>
          <w:jc w:val="center"/>
        </w:trPr>
        <w:tc>
          <w:tcPr>
            <w:tcW w:w="499" w:type="dxa"/>
            <w:vAlign w:val="center"/>
          </w:tcPr>
          <w:p w:rsidR="001475EB" w:rsidRPr="00C86443" w:rsidRDefault="001475EB" w:rsidP="006541AB">
            <w:pPr>
              <w:jc w:val="center"/>
              <w:rPr>
                <w:sz w:val="22"/>
                <w:szCs w:val="22"/>
              </w:rPr>
            </w:pPr>
            <w:r w:rsidRPr="00C86443">
              <w:rPr>
                <w:sz w:val="22"/>
                <w:szCs w:val="22"/>
              </w:rPr>
              <w:t>4</w:t>
            </w:r>
          </w:p>
        </w:tc>
        <w:tc>
          <w:tcPr>
            <w:tcW w:w="2941" w:type="dxa"/>
            <w:vAlign w:val="center"/>
          </w:tcPr>
          <w:p w:rsidR="001475EB" w:rsidRPr="00C86443" w:rsidRDefault="001475EB" w:rsidP="006541AB">
            <w:pPr>
              <w:rPr>
                <w:sz w:val="22"/>
                <w:szCs w:val="22"/>
              </w:rPr>
            </w:pPr>
            <w:r w:rsidRPr="00C86443">
              <w:rPr>
                <w:sz w:val="22"/>
                <w:szCs w:val="22"/>
              </w:rPr>
              <w:t>Овощи всех видов</w:t>
            </w:r>
          </w:p>
        </w:tc>
        <w:tc>
          <w:tcPr>
            <w:tcW w:w="987" w:type="dxa"/>
            <w:vAlign w:val="center"/>
          </w:tcPr>
          <w:p w:rsidR="001475EB" w:rsidRPr="00C86443" w:rsidRDefault="001475EB" w:rsidP="006541AB">
            <w:pPr>
              <w:jc w:val="center"/>
              <w:rPr>
                <w:sz w:val="22"/>
                <w:szCs w:val="22"/>
              </w:rPr>
            </w:pPr>
            <w:r w:rsidRPr="00C86443">
              <w:rPr>
                <w:sz w:val="22"/>
                <w:szCs w:val="22"/>
              </w:rPr>
              <w:t>тонн</w:t>
            </w:r>
          </w:p>
        </w:tc>
        <w:tc>
          <w:tcPr>
            <w:tcW w:w="1162" w:type="dxa"/>
            <w:vAlign w:val="center"/>
          </w:tcPr>
          <w:p w:rsidR="001475EB" w:rsidRPr="00C86443" w:rsidRDefault="001475EB" w:rsidP="006541A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86443">
              <w:rPr>
                <w:sz w:val="22"/>
                <w:szCs w:val="22"/>
              </w:rPr>
              <w:t>5365,7</w:t>
            </w:r>
          </w:p>
        </w:tc>
        <w:tc>
          <w:tcPr>
            <w:tcW w:w="1005" w:type="dxa"/>
            <w:vAlign w:val="center"/>
          </w:tcPr>
          <w:p w:rsidR="001475EB" w:rsidRPr="00C86443" w:rsidRDefault="001475EB" w:rsidP="006541A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86443">
              <w:rPr>
                <w:sz w:val="22"/>
                <w:szCs w:val="22"/>
              </w:rPr>
              <w:t>5380</w:t>
            </w:r>
          </w:p>
        </w:tc>
        <w:tc>
          <w:tcPr>
            <w:tcW w:w="1134" w:type="dxa"/>
            <w:vAlign w:val="center"/>
          </w:tcPr>
          <w:p w:rsidR="001475EB" w:rsidRPr="00C86443" w:rsidRDefault="001475EB" w:rsidP="006541A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86443">
              <w:rPr>
                <w:sz w:val="22"/>
                <w:szCs w:val="22"/>
              </w:rPr>
              <w:t>5461,7</w:t>
            </w:r>
          </w:p>
        </w:tc>
        <w:tc>
          <w:tcPr>
            <w:tcW w:w="1117" w:type="dxa"/>
            <w:vAlign w:val="center"/>
          </w:tcPr>
          <w:p w:rsidR="001475EB" w:rsidRPr="00C86443" w:rsidRDefault="001475EB" w:rsidP="006541A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86443">
              <w:rPr>
                <w:sz w:val="22"/>
                <w:szCs w:val="22"/>
              </w:rPr>
              <w:t>101,8</w:t>
            </w:r>
          </w:p>
        </w:tc>
        <w:tc>
          <w:tcPr>
            <w:tcW w:w="1221" w:type="dxa"/>
            <w:vAlign w:val="center"/>
          </w:tcPr>
          <w:p w:rsidR="001475EB" w:rsidRPr="00C86443" w:rsidRDefault="001475EB" w:rsidP="006541A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86443">
              <w:rPr>
                <w:sz w:val="22"/>
                <w:szCs w:val="22"/>
              </w:rPr>
              <w:t>101,5</w:t>
            </w:r>
          </w:p>
        </w:tc>
      </w:tr>
      <w:tr w:rsidR="001475EB" w:rsidRPr="00C86443" w:rsidTr="001475EB">
        <w:trPr>
          <w:trHeight w:val="346"/>
          <w:jc w:val="center"/>
        </w:trPr>
        <w:tc>
          <w:tcPr>
            <w:tcW w:w="499" w:type="dxa"/>
            <w:vAlign w:val="center"/>
          </w:tcPr>
          <w:p w:rsidR="001475EB" w:rsidRPr="00C86443" w:rsidRDefault="001475EB" w:rsidP="006541AB">
            <w:pPr>
              <w:jc w:val="center"/>
              <w:rPr>
                <w:sz w:val="22"/>
                <w:szCs w:val="22"/>
              </w:rPr>
            </w:pPr>
            <w:r w:rsidRPr="00C86443">
              <w:rPr>
                <w:sz w:val="22"/>
                <w:szCs w:val="22"/>
              </w:rPr>
              <w:t>5</w:t>
            </w:r>
          </w:p>
        </w:tc>
        <w:tc>
          <w:tcPr>
            <w:tcW w:w="2941" w:type="dxa"/>
            <w:vAlign w:val="center"/>
          </w:tcPr>
          <w:p w:rsidR="001475EB" w:rsidRPr="00C86443" w:rsidRDefault="001475EB" w:rsidP="006541AB">
            <w:pPr>
              <w:rPr>
                <w:sz w:val="22"/>
                <w:szCs w:val="22"/>
              </w:rPr>
            </w:pPr>
            <w:r w:rsidRPr="00C86443">
              <w:rPr>
                <w:sz w:val="22"/>
                <w:szCs w:val="22"/>
              </w:rPr>
              <w:t>Подсолнечник</w:t>
            </w:r>
          </w:p>
        </w:tc>
        <w:tc>
          <w:tcPr>
            <w:tcW w:w="987" w:type="dxa"/>
            <w:vAlign w:val="center"/>
          </w:tcPr>
          <w:p w:rsidR="001475EB" w:rsidRPr="00C86443" w:rsidRDefault="001475EB" w:rsidP="006541AB">
            <w:pPr>
              <w:jc w:val="center"/>
              <w:rPr>
                <w:sz w:val="22"/>
                <w:szCs w:val="22"/>
              </w:rPr>
            </w:pPr>
            <w:r w:rsidRPr="00C86443">
              <w:rPr>
                <w:sz w:val="22"/>
                <w:szCs w:val="22"/>
              </w:rPr>
              <w:t>тонн</w:t>
            </w:r>
          </w:p>
        </w:tc>
        <w:tc>
          <w:tcPr>
            <w:tcW w:w="1162" w:type="dxa"/>
            <w:vAlign w:val="center"/>
          </w:tcPr>
          <w:p w:rsidR="001475EB" w:rsidRPr="00C86443" w:rsidRDefault="001475EB" w:rsidP="006541A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86443">
              <w:rPr>
                <w:sz w:val="22"/>
                <w:szCs w:val="22"/>
              </w:rPr>
              <w:t>2958,6</w:t>
            </w:r>
          </w:p>
        </w:tc>
        <w:tc>
          <w:tcPr>
            <w:tcW w:w="1005" w:type="dxa"/>
            <w:vAlign w:val="center"/>
          </w:tcPr>
          <w:p w:rsidR="001475EB" w:rsidRPr="00C86443" w:rsidRDefault="001475EB" w:rsidP="006541A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86443">
              <w:rPr>
                <w:sz w:val="22"/>
                <w:szCs w:val="22"/>
              </w:rPr>
              <w:t>3610</w:t>
            </w:r>
          </w:p>
        </w:tc>
        <w:tc>
          <w:tcPr>
            <w:tcW w:w="1134" w:type="dxa"/>
            <w:vAlign w:val="center"/>
          </w:tcPr>
          <w:p w:rsidR="001475EB" w:rsidRPr="00C86443" w:rsidRDefault="001475EB" w:rsidP="006541A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86443">
              <w:rPr>
                <w:sz w:val="22"/>
                <w:szCs w:val="22"/>
              </w:rPr>
              <w:t>7638,9</w:t>
            </w:r>
          </w:p>
        </w:tc>
        <w:tc>
          <w:tcPr>
            <w:tcW w:w="1117" w:type="dxa"/>
          </w:tcPr>
          <w:p w:rsidR="001475EB" w:rsidRPr="00C86443" w:rsidRDefault="001475EB" w:rsidP="006541A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86443">
              <w:rPr>
                <w:sz w:val="22"/>
                <w:szCs w:val="22"/>
              </w:rPr>
              <w:t>258,2</w:t>
            </w:r>
          </w:p>
        </w:tc>
        <w:tc>
          <w:tcPr>
            <w:tcW w:w="1221" w:type="dxa"/>
            <w:vAlign w:val="center"/>
          </w:tcPr>
          <w:p w:rsidR="001475EB" w:rsidRPr="00C86443" w:rsidRDefault="001475EB" w:rsidP="006541A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86443">
              <w:rPr>
                <w:sz w:val="22"/>
                <w:szCs w:val="22"/>
              </w:rPr>
              <w:t>211,6</w:t>
            </w:r>
          </w:p>
        </w:tc>
      </w:tr>
    </w:tbl>
    <w:p w:rsidR="00256556" w:rsidRPr="00C86443" w:rsidRDefault="00256556" w:rsidP="00256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256556" w:rsidRPr="00C86443" w:rsidRDefault="00256556" w:rsidP="00256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443">
        <w:rPr>
          <w:rFonts w:ascii="Times New Roman" w:eastAsia="Times New Roman" w:hAnsi="Times New Roman" w:cs="Times New Roman"/>
          <w:sz w:val="24"/>
          <w:szCs w:val="24"/>
        </w:rPr>
        <w:t>В соответствии с заключенным Соглашением между Министерством сельского  хозяйства РБ и Администрацией МР Белебеевский район РБ о реализации мероприятий Государственной программы развития сельского хозяйства и регулирования рынков сельскохозяйственной продукции, сырья и продовольствия в Республике Башкортостан на период 2020-2026гг. установлены целевые индикаторы по валовому сбору зерновых и зернобобовых культур (в первоначально оприходованном весе): 2023г. – 60,4 тыс</w:t>
      </w:r>
      <w:proofErr w:type="gramStart"/>
      <w:r w:rsidRPr="00C86443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C86443">
        <w:rPr>
          <w:rFonts w:ascii="Times New Roman" w:eastAsia="Times New Roman" w:hAnsi="Times New Roman" w:cs="Times New Roman"/>
          <w:sz w:val="24"/>
          <w:szCs w:val="24"/>
        </w:rPr>
        <w:t>онн, 2024г. – 60,5 тыс.тонн, 2025г. – 60,6 тыс</w:t>
      </w:r>
      <w:proofErr w:type="gramStart"/>
      <w:r w:rsidRPr="00C86443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C86443">
        <w:rPr>
          <w:rFonts w:ascii="Times New Roman" w:eastAsia="Times New Roman" w:hAnsi="Times New Roman" w:cs="Times New Roman"/>
          <w:sz w:val="24"/>
          <w:szCs w:val="24"/>
        </w:rPr>
        <w:t>онн, 2026г. – 60,7 тыс.тонн.</w:t>
      </w:r>
    </w:p>
    <w:p w:rsidR="00256556" w:rsidRPr="00C86443" w:rsidRDefault="00256556" w:rsidP="00256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443">
        <w:rPr>
          <w:rFonts w:ascii="Times New Roman" w:eastAsia="Times New Roman" w:hAnsi="Times New Roman" w:cs="Times New Roman"/>
          <w:sz w:val="24"/>
          <w:szCs w:val="24"/>
        </w:rPr>
        <w:t>Положительным моментом по итогам посевной кампании 2023 года является увеличение в текущем году общей посевной площади на 132 га. Площадь зерновых и зернобобовых культур увеличилась на 4078 га, в т.ч. площадь озимых зерновых на 2993 га, яровых зерновых и зернобобовых культур на 1085 га. В то же время сократились посевные площади масличных культур на 3223 га, в т.ч. подсолнечника – на 709 га, кормовых культур – на 682 га. В личных хозяйствах населения сократились площади картофеля, овощных культур.</w:t>
      </w:r>
    </w:p>
    <w:p w:rsidR="00256556" w:rsidRPr="00C86443" w:rsidRDefault="00256556" w:rsidP="00256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Отмечается увеличение площадей, засеваемых семенами элитных сортов и увеличение </w:t>
      </w:r>
      <w:r w:rsidR="00A05914" w:rsidRPr="00C86443">
        <w:rPr>
          <w:rFonts w:ascii="Times New Roman" w:eastAsia="Times New Roman" w:hAnsi="Times New Roman" w:cs="Times New Roman"/>
          <w:sz w:val="24"/>
          <w:szCs w:val="24"/>
        </w:rPr>
        <w:t>объемов,</w:t>
      </w:r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 внесенных минеральных и органических удобрений. </w:t>
      </w:r>
    </w:p>
    <w:p w:rsidR="00256556" w:rsidRPr="00C86443" w:rsidRDefault="00256556" w:rsidP="00256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В целях эффективного развития растениеводства сельскохозяйственные товаропроизводители района активно участвуют в программах государственной поддержки. Господдержка отрасли растениеводства за </w:t>
      </w:r>
      <w:r w:rsidR="001475EB" w:rsidRPr="00C86443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 месяцев текущего года составила </w:t>
      </w:r>
      <w:r w:rsidR="001475EB" w:rsidRPr="00C86443">
        <w:rPr>
          <w:rFonts w:ascii="Times New Roman" w:eastAsia="Times New Roman" w:hAnsi="Times New Roman" w:cs="Times New Roman"/>
          <w:sz w:val="24"/>
          <w:szCs w:val="24"/>
        </w:rPr>
        <w:t>25,5</w:t>
      </w:r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 млн. рублей и была представлена субсидиями:</w:t>
      </w:r>
    </w:p>
    <w:p w:rsidR="00256556" w:rsidRPr="00C86443" w:rsidRDefault="00256556" w:rsidP="00256556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на производство и реализацию зерновых культур – </w:t>
      </w:r>
      <w:r w:rsidR="001475EB" w:rsidRPr="00C86443">
        <w:rPr>
          <w:rFonts w:ascii="Times New Roman" w:eastAsia="Times New Roman" w:hAnsi="Times New Roman" w:cs="Times New Roman"/>
          <w:sz w:val="24"/>
          <w:szCs w:val="24"/>
        </w:rPr>
        <w:t>11,8</w:t>
      </w:r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 млн. рублей;</w:t>
      </w:r>
    </w:p>
    <w:p w:rsidR="00256556" w:rsidRPr="00C86443" w:rsidRDefault="00256556" w:rsidP="00256556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443">
        <w:rPr>
          <w:rFonts w:ascii="Times New Roman" w:eastAsia="Times New Roman" w:hAnsi="Times New Roman" w:cs="Times New Roman"/>
          <w:sz w:val="24"/>
          <w:szCs w:val="24"/>
        </w:rPr>
        <w:t>на приобретение средств химизации – 7,</w:t>
      </w:r>
      <w:r w:rsidR="001475EB" w:rsidRPr="00C8644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 млн. рублей;</w:t>
      </w:r>
    </w:p>
    <w:p w:rsidR="00256556" w:rsidRPr="00C86443" w:rsidRDefault="00256556" w:rsidP="00256556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443">
        <w:rPr>
          <w:rFonts w:ascii="Times New Roman" w:eastAsia="Times New Roman" w:hAnsi="Times New Roman" w:cs="Times New Roman"/>
          <w:sz w:val="24"/>
          <w:szCs w:val="24"/>
        </w:rPr>
        <w:t>на приобретение техники и оборудования – 4,</w:t>
      </w:r>
      <w:r w:rsidR="001475EB" w:rsidRPr="00C86443">
        <w:rPr>
          <w:rFonts w:ascii="Times New Roman" w:eastAsia="Times New Roman" w:hAnsi="Times New Roman" w:cs="Times New Roman"/>
          <w:sz w:val="24"/>
          <w:szCs w:val="24"/>
        </w:rPr>
        <w:t>4</w:t>
      </w:r>
      <w:r w:rsidR="00A05914" w:rsidRPr="00C864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443">
        <w:rPr>
          <w:rFonts w:ascii="Times New Roman" w:eastAsia="Times New Roman" w:hAnsi="Times New Roman" w:cs="Times New Roman"/>
          <w:sz w:val="24"/>
          <w:szCs w:val="24"/>
        </w:rPr>
        <w:t>млн. рублей;</w:t>
      </w:r>
    </w:p>
    <w:p w:rsidR="001475EB" w:rsidRPr="00C86443" w:rsidRDefault="00256556" w:rsidP="001475E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443">
        <w:rPr>
          <w:rFonts w:ascii="Times New Roman" w:eastAsia="Times New Roman" w:hAnsi="Times New Roman" w:cs="Times New Roman"/>
          <w:sz w:val="24"/>
          <w:szCs w:val="24"/>
        </w:rPr>
        <w:t>на оказание несвязанной поддержки (погектар</w:t>
      </w:r>
      <w:r w:rsidR="001475EB" w:rsidRPr="00C86443">
        <w:rPr>
          <w:rFonts w:ascii="Times New Roman" w:eastAsia="Times New Roman" w:hAnsi="Times New Roman" w:cs="Times New Roman"/>
          <w:sz w:val="24"/>
          <w:szCs w:val="24"/>
        </w:rPr>
        <w:t>ная субсидия) – 1,3 млн. рублей;</w:t>
      </w:r>
    </w:p>
    <w:p w:rsidR="001475EB" w:rsidRPr="00C86443" w:rsidRDefault="001475EB" w:rsidP="001475E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на развитие элитного </w:t>
      </w:r>
      <w:r w:rsidR="00197B5E" w:rsidRPr="00C86443">
        <w:rPr>
          <w:rFonts w:ascii="Times New Roman" w:eastAsia="Times New Roman" w:hAnsi="Times New Roman" w:cs="Times New Roman"/>
          <w:sz w:val="24"/>
          <w:szCs w:val="24"/>
        </w:rPr>
        <w:t>семеноводства -</w:t>
      </w:r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  0,2 млн. рублей. </w:t>
      </w:r>
    </w:p>
    <w:p w:rsidR="00256556" w:rsidRPr="00C86443" w:rsidRDefault="00256556" w:rsidP="00256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Индекс производства продукции животноводства в 2023 году прогнозируется на уровне </w:t>
      </w:r>
      <w:r w:rsidR="001475EB" w:rsidRPr="00C86443">
        <w:rPr>
          <w:rFonts w:ascii="Times New Roman" w:eastAsia="Times New Roman" w:hAnsi="Times New Roman" w:cs="Times New Roman"/>
          <w:sz w:val="24"/>
          <w:szCs w:val="24"/>
        </w:rPr>
        <w:t>108,03</w:t>
      </w:r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256556" w:rsidRPr="00C86443" w:rsidRDefault="00256556" w:rsidP="00256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Факторами </w:t>
      </w:r>
      <w:proofErr w:type="gramStart"/>
      <w:r w:rsidRPr="00C86443">
        <w:rPr>
          <w:rFonts w:ascii="Times New Roman" w:eastAsia="Times New Roman" w:hAnsi="Times New Roman" w:cs="Times New Roman"/>
          <w:sz w:val="24"/>
          <w:szCs w:val="24"/>
        </w:rPr>
        <w:t>увеличения производства валовой продукции животноводства</w:t>
      </w:r>
      <w:proofErr w:type="gramEnd"/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 в текущем году будут: </w:t>
      </w:r>
    </w:p>
    <w:p w:rsidR="00256556" w:rsidRPr="00C86443" w:rsidRDefault="00256556" w:rsidP="0025655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выход на плановую мощность животноводческой площадки «Донская» </w:t>
      </w:r>
      <w:r w:rsidRPr="00C86443">
        <w:rPr>
          <w:rFonts w:ascii="Times New Roman" w:eastAsia="Times New Roman" w:hAnsi="Times New Roman" w:cs="Times New Roman"/>
          <w:i/>
          <w:sz w:val="24"/>
          <w:szCs w:val="24"/>
        </w:rPr>
        <w:t>ООО «Башкирская мясная компания»</w:t>
      </w:r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 мощностью откорма 33 тысяч голов свиней, с плановым производством 9000 тонн мяса в живом весе. </w:t>
      </w:r>
    </w:p>
    <w:p w:rsidR="00256556" w:rsidRPr="00C86443" w:rsidRDefault="00256556" w:rsidP="0025655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выход на плановую мощность </w:t>
      </w:r>
      <w:proofErr w:type="spellStart"/>
      <w:r w:rsidRPr="00C86443">
        <w:rPr>
          <w:rFonts w:ascii="Times New Roman" w:eastAsia="Times New Roman" w:hAnsi="Times New Roman" w:cs="Times New Roman"/>
          <w:sz w:val="24"/>
          <w:szCs w:val="24"/>
        </w:rPr>
        <w:t>свинокомплекса</w:t>
      </w:r>
      <w:proofErr w:type="spellEnd"/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 (СК-1 «Шаровка») </w:t>
      </w:r>
      <w:r w:rsidRPr="00C86443">
        <w:rPr>
          <w:rFonts w:ascii="Times New Roman" w:eastAsia="Times New Roman" w:hAnsi="Times New Roman" w:cs="Times New Roman"/>
          <w:i/>
          <w:sz w:val="24"/>
          <w:szCs w:val="24"/>
        </w:rPr>
        <w:t xml:space="preserve">ООО «Уральская мясная компания». </w:t>
      </w:r>
    </w:p>
    <w:p w:rsidR="00256556" w:rsidRPr="00C86443" w:rsidRDefault="00256556" w:rsidP="00256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Реализация данных инвестиционных проектов позволит обеспечить достижение целевых индикаторов по производству скота и птицы в живом весе, предусмотренных Соглашением между Министерством </w:t>
      </w:r>
      <w:r w:rsidR="00197B5E" w:rsidRPr="00C86443">
        <w:rPr>
          <w:rFonts w:ascii="Times New Roman" w:eastAsia="Times New Roman" w:hAnsi="Times New Roman" w:cs="Times New Roman"/>
          <w:sz w:val="24"/>
          <w:szCs w:val="24"/>
        </w:rPr>
        <w:t>сельского хозяйства</w:t>
      </w:r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 РБ и Администрацией МР Белебеевский район РБ о реализации мероприятий Государственной программы развития сельского хозяйства и </w:t>
      </w:r>
      <w:r w:rsidRPr="00C864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регулирования рынков сельскохозяйственной продукции, сырья и продовольствия в Республике Башкортостан на период 2020-2026гг.  </w:t>
      </w:r>
      <w:proofErr w:type="gramEnd"/>
    </w:p>
    <w:p w:rsidR="00256556" w:rsidRPr="00C86443" w:rsidRDefault="00256556" w:rsidP="00147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443">
        <w:rPr>
          <w:rFonts w:ascii="Times New Roman" w:eastAsia="Times New Roman" w:hAnsi="Times New Roman" w:cs="Times New Roman"/>
          <w:sz w:val="24"/>
          <w:szCs w:val="24"/>
        </w:rPr>
        <w:t>Производство основных продуктов отрасли животноводства за 5 месяцев текущего года хара</w:t>
      </w:r>
      <w:r w:rsidR="001475EB" w:rsidRPr="00C86443">
        <w:rPr>
          <w:rFonts w:ascii="Times New Roman" w:eastAsia="Times New Roman" w:hAnsi="Times New Roman" w:cs="Times New Roman"/>
          <w:sz w:val="24"/>
          <w:szCs w:val="24"/>
        </w:rPr>
        <w:t>ктеризуется следующими данными.</w:t>
      </w:r>
    </w:p>
    <w:p w:rsidR="00256556" w:rsidRPr="00C86443" w:rsidRDefault="00256556" w:rsidP="00256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256556" w:rsidRPr="00C86443" w:rsidRDefault="00256556" w:rsidP="002565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6443">
        <w:rPr>
          <w:rFonts w:ascii="Times New Roman" w:eastAsia="Times New Roman" w:hAnsi="Times New Roman" w:cs="Times New Roman"/>
          <w:sz w:val="24"/>
          <w:szCs w:val="24"/>
        </w:rPr>
        <w:t>Таблица 4. Производство основной продукции животноводства</w:t>
      </w:r>
    </w:p>
    <w:tbl>
      <w:tblPr>
        <w:tblStyle w:val="12"/>
        <w:tblW w:w="0" w:type="auto"/>
        <w:jc w:val="center"/>
        <w:tblLook w:val="04A0"/>
      </w:tblPr>
      <w:tblGrid>
        <w:gridCol w:w="541"/>
        <w:gridCol w:w="2243"/>
        <w:gridCol w:w="1273"/>
        <w:gridCol w:w="1013"/>
        <w:gridCol w:w="1135"/>
        <w:gridCol w:w="1075"/>
        <w:gridCol w:w="1353"/>
        <w:gridCol w:w="1504"/>
      </w:tblGrid>
      <w:tr w:rsidR="00256556" w:rsidRPr="00C86443" w:rsidTr="001475EB">
        <w:trPr>
          <w:trHeight w:val="350"/>
          <w:jc w:val="center"/>
        </w:trPr>
        <w:tc>
          <w:tcPr>
            <w:tcW w:w="541" w:type="dxa"/>
            <w:vMerge w:val="restart"/>
            <w:vAlign w:val="center"/>
          </w:tcPr>
          <w:p w:rsidR="00256556" w:rsidRPr="00C86443" w:rsidRDefault="00256556" w:rsidP="00923835">
            <w:pPr>
              <w:jc w:val="center"/>
              <w:rPr>
                <w:sz w:val="24"/>
                <w:szCs w:val="24"/>
              </w:rPr>
            </w:pPr>
            <w:r w:rsidRPr="00C86443">
              <w:rPr>
                <w:sz w:val="24"/>
                <w:szCs w:val="24"/>
              </w:rPr>
              <w:t>№ п/п</w:t>
            </w:r>
          </w:p>
        </w:tc>
        <w:tc>
          <w:tcPr>
            <w:tcW w:w="2243" w:type="dxa"/>
            <w:vMerge w:val="restart"/>
            <w:vAlign w:val="center"/>
          </w:tcPr>
          <w:p w:rsidR="00256556" w:rsidRPr="00C86443" w:rsidRDefault="00256556" w:rsidP="00923835">
            <w:pPr>
              <w:jc w:val="center"/>
              <w:rPr>
                <w:sz w:val="24"/>
                <w:szCs w:val="24"/>
              </w:rPr>
            </w:pPr>
            <w:r w:rsidRPr="00C8644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3" w:type="dxa"/>
            <w:vMerge w:val="restart"/>
            <w:vAlign w:val="center"/>
          </w:tcPr>
          <w:p w:rsidR="00256556" w:rsidRPr="00C86443" w:rsidRDefault="00256556" w:rsidP="00923835">
            <w:pPr>
              <w:jc w:val="center"/>
              <w:rPr>
                <w:sz w:val="24"/>
                <w:szCs w:val="24"/>
              </w:rPr>
            </w:pPr>
            <w:r w:rsidRPr="00C86443">
              <w:rPr>
                <w:sz w:val="24"/>
                <w:szCs w:val="24"/>
              </w:rPr>
              <w:t>Ед.</w:t>
            </w:r>
          </w:p>
          <w:p w:rsidR="00256556" w:rsidRPr="00C86443" w:rsidRDefault="00256556" w:rsidP="00923835">
            <w:pPr>
              <w:jc w:val="center"/>
              <w:rPr>
                <w:sz w:val="24"/>
                <w:szCs w:val="24"/>
              </w:rPr>
            </w:pPr>
            <w:proofErr w:type="spellStart"/>
            <w:r w:rsidRPr="00C86443">
              <w:rPr>
                <w:sz w:val="24"/>
                <w:szCs w:val="24"/>
              </w:rPr>
              <w:t>изм</w:t>
            </w:r>
            <w:proofErr w:type="spellEnd"/>
            <w:r w:rsidRPr="00C86443">
              <w:rPr>
                <w:sz w:val="24"/>
                <w:szCs w:val="24"/>
              </w:rPr>
              <w:t>.</w:t>
            </w:r>
          </w:p>
        </w:tc>
        <w:tc>
          <w:tcPr>
            <w:tcW w:w="1013" w:type="dxa"/>
            <w:vMerge w:val="restart"/>
            <w:vAlign w:val="center"/>
          </w:tcPr>
          <w:p w:rsidR="00256556" w:rsidRPr="00C86443" w:rsidRDefault="00256556" w:rsidP="00923835">
            <w:pPr>
              <w:jc w:val="center"/>
              <w:rPr>
                <w:sz w:val="24"/>
                <w:szCs w:val="24"/>
              </w:rPr>
            </w:pPr>
            <w:r w:rsidRPr="00C86443">
              <w:rPr>
                <w:sz w:val="24"/>
                <w:szCs w:val="24"/>
              </w:rPr>
              <w:t>2022г.</w:t>
            </w:r>
          </w:p>
        </w:tc>
        <w:tc>
          <w:tcPr>
            <w:tcW w:w="2210" w:type="dxa"/>
            <w:gridSpan w:val="2"/>
            <w:vAlign w:val="center"/>
          </w:tcPr>
          <w:p w:rsidR="00256556" w:rsidRPr="00C86443" w:rsidRDefault="00256556" w:rsidP="00923835">
            <w:pPr>
              <w:jc w:val="center"/>
              <w:rPr>
                <w:sz w:val="24"/>
                <w:szCs w:val="24"/>
              </w:rPr>
            </w:pPr>
            <w:r w:rsidRPr="00C86443">
              <w:rPr>
                <w:sz w:val="24"/>
                <w:szCs w:val="24"/>
              </w:rPr>
              <w:t>2023г.</w:t>
            </w:r>
          </w:p>
        </w:tc>
        <w:tc>
          <w:tcPr>
            <w:tcW w:w="1353" w:type="dxa"/>
            <w:vMerge w:val="restart"/>
            <w:vAlign w:val="center"/>
          </w:tcPr>
          <w:p w:rsidR="00256556" w:rsidRPr="00C86443" w:rsidRDefault="00256556" w:rsidP="00923835">
            <w:pPr>
              <w:jc w:val="center"/>
              <w:rPr>
                <w:sz w:val="24"/>
                <w:szCs w:val="24"/>
              </w:rPr>
            </w:pPr>
            <w:r w:rsidRPr="00C86443">
              <w:rPr>
                <w:sz w:val="24"/>
                <w:szCs w:val="24"/>
              </w:rPr>
              <w:t>План 2023г. в % к факту 2022г.</w:t>
            </w:r>
          </w:p>
        </w:tc>
        <w:tc>
          <w:tcPr>
            <w:tcW w:w="1504" w:type="dxa"/>
            <w:vMerge w:val="restart"/>
            <w:vAlign w:val="center"/>
          </w:tcPr>
          <w:p w:rsidR="00256556" w:rsidRPr="00C86443" w:rsidRDefault="00256556" w:rsidP="00A81EF7">
            <w:pPr>
              <w:jc w:val="center"/>
              <w:rPr>
                <w:sz w:val="24"/>
                <w:szCs w:val="24"/>
              </w:rPr>
            </w:pPr>
            <w:r w:rsidRPr="00C86443">
              <w:rPr>
                <w:sz w:val="24"/>
                <w:szCs w:val="24"/>
              </w:rPr>
              <w:t xml:space="preserve">Выполнение плана 2023г. за </w:t>
            </w:r>
            <w:proofErr w:type="spellStart"/>
            <w:r w:rsidRPr="00C86443">
              <w:rPr>
                <w:sz w:val="24"/>
                <w:szCs w:val="24"/>
              </w:rPr>
              <w:t>янв</w:t>
            </w:r>
            <w:proofErr w:type="gramStart"/>
            <w:r w:rsidRPr="00C86443">
              <w:rPr>
                <w:sz w:val="24"/>
                <w:szCs w:val="24"/>
              </w:rPr>
              <w:t>.-</w:t>
            </w:r>
            <w:proofErr w:type="gramEnd"/>
            <w:r w:rsidR="00A81EF7" w:rsidRPr="00C86443">
              <w:rPr>
                <w:sz w:val="24"/>
                <w:szCs w:val="24"/>
              </w:rPr>
              <w:t>ноябрь</w:t>
            </w:r>
            <w:proofErr w:type="spellEnd"/>
          </w:p>
        </w:tc>
      </w:tr>
      <w:tr w:rsidR="00256556" w:rsidRPr="00C86443" w:rsidTr="001475EB">
        <w:trPr>
          <w:trHeight w:val="161"/>
          <w:jc w:val="center"/>
        </w:trPr>
        <w:tc>
          <w:tcPr>
            <w:tcW w:w="541" w:type="dxa"/>
            <w:vMerge/>
            <w:vAlign w:val="center"/>
          </w:tcPr>
          <w:p w:rsidR="00256556" w:rsidRPr="00C86443" w:rsidRDefault="00256556" w:rsidP="00923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256556" w:rsidRPr="00C86443" w:rsidRDefault="00256556" w:rsidP="00923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</w:tcPr>
          <w:p w:rsidR="00256556" w:rsidRPr="00C86443" w:rsidRDefault="00256556" w:rsidP="00923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vMerge/>
            <w:vAlign w:val="center"/>
          </w:tcPr>
          <w:p w:rsidR="00256556" w:rsidRPr="00C86443" w:rsidRDefault="00256556" w:rsidP="00923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256556" w:rsidRPr="00C86443" w:rsidRDefault="00256556" w:rsidP="00923835">
            <w:pPr>
              <w:jc w:val="center"/>
              <w:rPr>
                <w:sz w:val="24"/>
                <w:szCs w:val="24"/>
              </w:rPr>
            </w:pPr>
            <w:r w:rsidRPr="00C86443">
              <w:rPr>
                <w:sz w:val="24"/>
                <w:szCs w:val="24"/>
              </w:rPr>
              <w:t>план</w:t>
            </w:r>
          </w:p>
        </w:tc>
        <w:tc>
          <w:tcPr>
            <w:tcW w:w="1075" w:type="dxa"/>
            <w:vAlign w:val="center"/>
          </w:tcPr>
          <w:p w:rsidR="00256556" w:rsidRPr="00C86443" w:rsidRDefault="001475EB" w:rsidP="001475EB">
            <w:pPr>
              <w:jc w:val="center"/>
              <w:rPr>
                <w:sz w:val="24"/>
                <w:szCs w:val="24"/>
              </w:rPr>
            </w:pPr>
            <w:r w:rsidRPr="00C86443">
              <w:rPr>
                <w:sz w:val="24"/>
                <w:szCs w:val="24"/>
              </w:rPr>
              <w:t>факт за январь-ноябрь</w:t>
            </w:r>
          </w:p>
        </w:tc>
        <w:tc>
          <w:tcPr>
            <w:tcW w:w="1353" w:type="dxa"/>
            <w:vMerge/>
            <w:vAlign w:val="center"/>
          </w:tcPr>
          <w:p w:rsidR="00256556" w:rsidRPr="00C86443" w:rsidRDefault="00256556" w:rsidP="00923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  <w:vMerge/>
          </w:tcPr>
          <w:p w:rsidR="00256556" w:rsidRPr="00C86443" w:rsidRDefault="00256556" w:rsidP="00923835">
            <w:pPr>
              <w:jc w:val="center"/>
              <w:rPr>
                <w:sz w:val="24"/>
                <w:szCs w:val="24"/>
              </w:rPr>
            </w:pPr>
          </w:p>
        </w:tc>
      </w:tr>
      <w:tr w:rsidR="001475EB" w:rsidRPr="00C86443" w:rsidTr="001475EB">
        <w:trPr>
          <w:trHeight w:val="606"/>
          <w:jc w:val="center"/>
        </w:trPr>
        <w:tc>
          <w:tcPr>
            <w:tcW w:w="541" w:type="dxa"/>
            <w:vAlign w:val="center"/>
          </w:tcPr>
          <w:p w:rsidR="001475EB" w:rsidRPr="00C86443" w:rsidRDefault="001475EB" w:rsidP="001475EB">
            <w:pPr>
              <w:jc w:val="center"/>
              <w:rPr>
                <w:sz w:val="24"/>
                <w:szCs w:val="24"/>
              </w:rPr>
            </w:pPr>
            <w:r w:rsidRPr="00C86443">
              <w:rPr>
                <w:sz w:val="24"/>
                <w:szCs w:val="24"/>
              </w:rPr>
              <w:t>1</w:t>
            </w:r>
          </w:p>
        </w:tc>
        <w:tc>
          <w:tcPr>
            <w:tcW w:w="2243" w:type="dxa"/>
            <w:vAlign w:val="center"/>
          </w:tcPr>
          <w:p w:rsidR="001475EB" w:rsidRPr="00C86443" w:rsidRDefault="001475EB" w:rsidP="001475EB">
            <w:pPr>
              <w:rPr>
                <w:sz w:val="24"/>
                <w:szCs w:val="24"/>
              </w:rPr>
            </w:pPr>
            <w:r w:rsidRPr="00C86443">
              <w:rPr>
                <w:sz w:val="24"/>
                <w:szCs w:val="24"/>
              </w:rPr>
              <w:t>Молоко</w:t>
            </w:r>
          </w:p>
        </w:tc>
        <w:tc>
          <w:tcPr>
            <w:tcW w:w="1273" w:type="dxa"/>
            <w:vAlign w:val="center"/>
          </w:tcPr>
          <w:p w:rsidR="001475EB" w:rsidRPr="00C86443" w:rsidRDefault="001475EB" w:rsidP="001475EB">
            <w:pPr>
              <w:jc w:val="center"/>
              <w:rPr>
                <w:sz w:val="24"/>
                <w:szCs w:val="24"/>
              </w:rPr>
            </w:pPr>
            <w:r w:rsidRPr="00C86443">
              <w:rPr>
                <w:sz w:val="24"/>
                <w:szCs w:val="24"/>
              </w:rPr>
              <w:t>тонн</w:t>
            </w:r>
          </w:p>
        </w:tc>
        <w:tc>
          <w:tcPr>
            <w:tcW w:w="1013" w:type="dxa"/>
            <w:vAlign w:val="center"/>
          </w:tcPr>
          <w:p w:rsidR="001475EB" w:rsidRPr="00C86443" w:rsidRDefault="001475EB" w:rsidP="001475EB">
            <w:pPr>
              <w:jc w:val="center"/>
              <w:rPr>
                <w:sz w:val="24"/>
                <w:szCs w:val="24"/>
              </w:rPr>
            </w:pPr>
            <w:r w:rsidRPr="00C86443">
              <w:rPr>
                <w:sz w:val="24"/>
                <w:szCs w:val="24"/>
              </w:rPr>
              <w:t>16321,1</w:t>
            </w:r>
          </w:p>
        </w:tc>
        <w:tc>
          <w:tcPr>
            <w:tcW w:w="1135" w:type="dxa"/>
            <w:vAlign w:val="center"/>
          </w:tcPr>
          <w:p w:rsidR="001475EB" w:rsidRPr="00C86443" w:rsidRDefault="001475EB" w:rsidP="001475EB">
            <w:pPr>
              <w:jc w:val="center"/>
              <w:rPr>
                <w:sz w:val="24"/>
                <w:szCs w:val="24"/>
              </w:rPr>
            </w:pPr>
            <w:r w:rsidRPr="00C86443">
              <w:rPr>
                <w:sz w:val="24"/>
                <w:szCs w:val="24"/>
              </w:rPr>
              <w:t>15013</w:t>
            </w:r>
          </w:p>
        </w:tc>
        <w:tc>
          <w:tcPr>
            <w:tcW w:w="1075" w:type="dxa"/>
            <w:vAlign w:val="center"/>
          </w:tcPr>
          <w:p w:rsidR="001475EB" w:rsidRPr="00C86443" w:rsidRDefault="001475EB" w:rsidP="001475EB">
            <w:pPr>
              <w:jc w:val="center"/>
              <w:rPr>
                <w:sz w:val="24"/>
                <w:szCs w:val="24"/>
              </w:rPr>
            </w:pPr>
            <w:r w:rsidRPr="00C86443">
              <w:rPr>
                <w:sz w:val="24"/>
                <w:szCs w:val="24"/>
              </w:rPr>
              <w:t>14647</w:t>
            </w:r>
          </w:p>
        </w:tc>
        <w:tc>
          <w:tcPr>
            <w:tcW w:w="1353" w:type="dxa"/>
            <w:vAlign w:val="center"/>
          </w:tcPr>
          <w:p w:rsidR="001475EB" w:rsidRPr="00C86443" w:rsidRDefault="001475EB" w:rsidP="001475EB">
            <w:pPr>
              <w:jc w:val="center"/>
              <w:rPr>
                <w:sz w:val="24"/>
                <w:szCs w:val="24"/>
              </w:rPr>
            </w:pPr>
            <w:r w:rsidRPr="00C86443">
              <w:rPr>
                <w:sz w:val="24"/>
                <w:szCs w:val="24"/>
              </w:rPr>
              <w:t>92,0</w:t>
            </w:r>
          </w:p>
        </w:tc>
        <w:tc>
          <w:tcPr>
            <w:tcW w:w="1504" w:type="dxa"/>
            <w:vAlign w:val="center"/>
          </w:tcPr>
          <w:p w:rsidR="001475EB" w:rsidRPr="00C86443" w:rsidRDefault="001475EB" w:rsidP="001475EB">
            <w:pPr>
              <w:jc w:val="center"/>
              <w:rPr>
                <w:sz w:val="24"/>
                <w:szCs w:val="24"/>
              </w:rPr>
            </w:pPr>
            <w:r w:rsidRPr="00C86443">
              <w:rPr>
                <w:sz w:val="24"/>
                <w:szCs w:val="24"/>
              </w:rPr>
              <w:t>97,6</w:t>
            </w:r>
          </w:p>
        </w:tc>
      </w:tr>
      <w:tr w:rsidR="001475EB" w:rsidRPr="00C86443" w:rsidTr="001475EB">
        <w:trPr>
          <w:trHeight w:val="363"/>
          <w:jc w:val="center"/>
        </w:trPr>
        <w:tc>
          <w:tcPr>
            <w:tcW w:w="541" w:type="dxa"/>
            <w:vAlign w:val="center"/>
          </w:tcPr>
          <w:p w:rsidR="001475EB" w:rsidRPr="00C86443" w:rsidRDefault="001475EB" w:rsidP="001475EB">
            <w:pPr>
              <w:jc w:val="center"/>
              <w:rPr>
                <w:sz w:val="24"/>
                <w:szCs w:val="24"/>
              </w:rPr>
            </w:pPr>
            <w:r w:rsidRPr="00C86443">
              <w:rPr>
                <w:sz w:val="24"/>
                <w:szCs w:val="24"/>
              </w:rPr>
              <w:t>2</w:t>
            </w:r>
          </w:p>
        </w:tc>
        <w:tc>
          <w:tcPr>
            <w:tcW w:w="2243" w:type="dxa"/>
            <w:vAlign w:val="center"/>
          </w:tcPr>
          <w:p w:rsidR="001475EB" w:rsidRPr="00C86443" w:rsidRDefault="001475EB" w:rsidP="001475EB">
            <w:pPr>
              <w:tabs>
                <w:tab w:val="left" w:pos="243"/>
                <w:tab w:val="center" w:pos="1860"/>
              </w:tabs>
              <w:rPr>
                <w:sz w:val="24"/>
                <w:szCs w:val="24"/>
              </w:rPr>
            </w:pPr>
            <w:r w:rsidRPr="00C86443">
              <w:rPr>
                <w:sz w:val="24"/>
                <w:szCs w:val="24"/>
              </w:rPr>
              <w:t xml:space="preserve">Скот и птица на убой в </w:t>
            </w:r>
            <w:proofErr w:type="gramStart"/>
            <w:r w:rsidRPr="00C86443">
              <w:rPr>
                <w:sz w:val="24"/>
                <w:szCs w:val="24"/>
              </w:rPr>
              <w:t>живом</w:t>
            </w:r>
            <w:proofErr w:type="gramEnd"/>
            <w:r w:rsidRPr="00C86443">
              <w:rPr>
                <w:sz w:val="24"/>
                <w:szCs w:val="24"/>
              </w:rPr>
              <w:t xml:space="preserve"> весе</w:t>
            </w:r>
          </w:p>
        </w:tc>
        <w:tc>
          <w:tcPr>
            <w:tcW w:w="1273" w:type="dxa"/>
            <w:vAlign w:val="center"/>
          </w:tcPr>
          <w:p w:rsidR="001475EB" w:rsidRPr="00C86443" w:rsidRDefault="001475EB" w:rsidP="001475EB">
            <w:pPr>
              <w:jc w:val="center"/>
              <w:rPr>
                <w:sz w:val="24"/>
                <w:szCs w:val="24"/>
              </w:rPr>
            </w:pPr>
            <w:r w:rsidRPr="00C86443">
              <w:rPr>
                <w:sz w:val="24"/>
                <w:szCs w:val="24"/>
              </w:rPr>
              <w:t>тонн</w:t>
            </w:r>
          </w:p>
        </w:tc>
        <w:tc>
          <w:tcPr>
            <w:tcW w:w="1013" w:type="dxa"/>
            <w:vAlign w:val="center"/>
          </w:tcPr>
          <w:p w:rsidR="001475EB" w:rsidRPr="00C86443" w:rsidRDefault="001475EB" w:rsidP="001475EB">
            <w:pPr>
              <w:jc w:val="center"/>
              <w:rPr>
                <w:sz w:val="24"/>
                <w:szCs w:val="24"/>
              </w:rPr>
            </w:pPr>
            <w:r w:rsidRPr="00C86443">
              <w:rPr>
                <w:sz w:val="24"/>
                <w:szCs w:val="24"/>
              </w:rPr>
              <w:t>19091,3</w:t>
            </w:r>
          </w:p>
        </w:tc>
        <w:tc>
          <w:tcPr>
            <w:tcW w:w="1135" w:type="dxa"/>
            <w:vAlign w:val="center"/>
          </w:tcPr>
          <w:p w:rsidR="001475EB" w:rsidRPr="00C86443" w:rsidRDefault="001475EB" w:rsidP="001475EB">
            <w:pPr>
              <w:jc w:val="center"/>
              <w:rPr>
                <w:sz w:val="24"/>
                <w:szCs w:val="24"/>
              </w:rPr>
            </w:pPr>
            <w:r w:rsidRPr="00C86443">
              <w:rPr>
                <w:sz w:val="24"/>
                <w:szCs w:val="24"/>
              </w:rPr>
              <w:t>20720</w:t>
            </w:r>
          </w:p>
        </w:tc>
        <w:tc>
          <w:tcPr>
            <w:tcW w:w="1075" w:type="dxa"/>
            <w:vAlign w:val="center"/>
          </w:tcPr>
          <w:p w:rsidR="001475EB" w:rsidRPr="00C86443" w:rsidRDefault="001475EB" w:rsidP="001475EB">
            <w:pPr>
              <w:jc w:val="center"/>
              <w:rPr>
                <w:sz w:val="24"/>
                <w:szCs w:val="24"/>
              </w:rPr>
            </w:pPr>
            <w:r w:rsidRPr="00C86443">
              <w:rPr>
                <w:sz w:val="24"/>
                <w:szCs w:val="24"/>
              </w:rPr>
              <w:t>22401,3</w:t>
            </w:r>
          </w:p>
        </w:tc>
        <w:tc>
          <w:tcPr>
            <w:tcW w:w="1353" w:type="dxa"/>
            <w:vAlign w:val="center"/>
          </w:tcPr>
          <w:p w:rsidR="001475EB" w:rsidRPr="00C86443" w:rsidRDefault="001475EB" w:rsidP="001475EB">
            <w:pPr>
              <w:jc w:val="center"/>
              <w:rPr>
                <w:sz w:val="24"/>
                <w:szCs w:val="24"/>
              </w:rPr>
            </w:pPr>
            <w:r w:rsidRPr="00C86443">
              <w:rPr>
                <w:sz w:val="24"/>
                <w:szCs w:val="24"/>
              </w:rPr>
              <w:t>108,5</w:t>
            </w:r>
          </w:p>
        </w:tc>
        <w:tc>
          <w:tcPr>
            <w:tcW w:w="1504" w:type="dxa"/>
            <w:vAlign w:val="center"/>
          </w:tcPr>
          <w:p w:rsidR="001475EB" w:rsidRPr="00C86443" w:rsidRDefault="001475EB" w:rsidP="001475EB">
            <w:pPr>
              <w:jc w:val="center"/>
              <w:rPr>
                <w:sz w:val="24"/>
                <w:szCs w:val="24"/>
              </w:rPr>
            </w:pPr>
            <w:r w:rsidRPr="00C86443">
              <w:rPr>
                <w:sz w:val="24"/>
                <w:szCs w:val="24"/>
              </w:rPr>
              <w:t>108,1</w:t>
            </w:r>
          </w:p>
        </w:tc>
      </w:tr>
      <w:tr w:rsidR="001475EB" w:rsidRPr="00C86443" w:rsidTr="001475EB">
        <w:trPr>
          <w:trHeight w:val="350"/>
          <w:jc w:val="center"/>
        </w:trPr>
        <w:tc>
          <w:tcPr>
            <w:tcW w:w="541" w:type="dxa"/>
            <w:vAlign w:val="center"/>
          </w:tcPr>
          <w:p w:rsidR="001475EB" w:rsidRPr="00C86443" w:rsidRDefault="001475EB" w:rsidP="001475EB">
            <w:pPr>
              <w:jc w:val="center"/>
              <w:rPr>
                <w:sz w:val="24"/>
                <w:szCs w:val="24"/>
              </w:rPr>
            </w:pPr>
            <w:r w:rsidRPr="00C86443">
              <w:rPr>
                <w:sz w:val="24"/>
                <w:szCs w:val="24"/>
              </w:rPr>
              <w:t>3</w:t>
            </w:r>
          </w:p>
        </w:tc>
        <w:tc>
          <w:tcPr>
            <w:tcW w:w="2243" w:type="dxa"/>
            <w:vAlign w:val="center"/>
          </w:tcPr>
          <w:p w:rsidR="001475EB" w:rsidRPr="00C86443" w:rsidRDefault="001475EB" w:rsidP="001475EB">
            <w:pPr>
              <w:rPr>
                <w:sz w:val="24"/>
                <w:szCs w:val="24"/>
              </w:rPr>
            </w:pPr>
            <w:r w:rsidRPr="00C86443">
              <w:rPr>
                <w:sz w:val="24"/>
                <w:szCs w:val="24"/>
              </w:rPr>
              <w:t>Яйца</w:t>
            </w:r>
          </w:p>
        </w:tc>
        <w:tc>
          <w:tcPr>
            <w:tcW w:w="1273" w:type="dxa"/>
            <w:vAlign w:val="center"/>
          </w:tcPr>
          <w:p w:rsidR="001475EB" w:rsidRPr="00C86443" w:rsidRDefault="001475EB" w:rsidP="001475EB">
            <w:pPr>
              <w:jc w:val="center"/>
              <w:rPr>
                <w:sz w:val="24"/>
                <w:szCs w:val="24"/>
              </w:rPr>
            </w:pPr>
            <w:r w:rsidRPr="00C86443">
              <w:rPr>
                <w:sz w:val="24"/>
                <w:szCs w:val="24"/>
              </w:rPr>
              <w:t>тыс.шт.</w:t>
            </w:r>
          </w:p>
        </w:tc>
        <w:tc>
          <w:tcPr>
            <w:tcW w:w="1013" w:type="dxa"/>
            <w:vAlign w:val="center"/>
          </w:tcPr>
          <w:p w:rsidR="001475EB" w:rsidRPr="00C86443" w:rsidRDefault="001475EB" w:rsidP="001475EB">
            <w:pPr>
              <w:jc w:val="center"/>
              <w:rPr>
                <w:sz w:val="24"/>
                <w:szCs w:val="24"/>
              </w:rPr>
            </w:pPr>
            <w:r w:rsidRPr="00C86443">
              <w:rPr>
                <w:sz w:val="24"/>
                <w:szCs w:val="24"/>
              </w:rPr>
              <w:t>2427</w:t>
            </w:r>
          </w:p>
        </w:tc>
        <w:tc>
          <w:tcPr>
            <w:tcW w:w="1135" w:type="dxa"/>
            <w:vAlign w:val="center"/>
          </w:tcPr>
          <w:p w:rsidR="001475EB" w:rsidRPr="00C86443" w:rsidRDefault="001475EB" w:rsidP="001475EB">
            <w:pPr>
              <w:jc w:val="center"/>
              <w:rPr>
                <w:sz w:val="24"/>
                <w:szCs w:val="24"/>
              </w:rPr>
            </w:pPr>
            <w:r w:rsidRPr="00C86443">
              <w:rPr>
                <w:sz w:val="24"/>
                <w:szCs w:val="24"/>
              </w:rPr>
              <w:t>2831</w:t>
            </w:r>
          </w:p>
        </w:tc>
        <w:tc>
          <w:tcPr>
            <w:tcW w:w="1075" w:type="dxa"/>
            <w:vAlign w:val="center"/>
          </w:tcPr>
          <w:p w:rsidR="001475EB" w:rsidRPr="00C86443" w:rsidRDefault="001475EB" w:rsidP="001475EB">
            <w:pPr>
              <w:jc w:val="center"/>
              <w:rPr>
                <w:sz w:val="24"/>
                <w:szCs w:val="24"/>
              </w:rPr>
            </w:pPr>
            <w:r w:rsidRPr="00C86443">
              <w:rPr>
                <w:sz w:val="24"/>
                <w:szCs w:val="24"/>
              </w:rPr>
              <w:t>2559</w:t>
            </w:r>
          </w:p>
        </w:tc>
        <w:tc>
          <w:tcPr>
            <w:tcW w:w="1353" w:type="dxa"/>
            <w:vAlign w:val="center"/>
          </w:tcPr>
          <w:p w:rsidR="001475EB" w:rsidRPr="00C86443" w:rsidRDefault="001475EB" w:rsidP="001475EB">
            <w:pPr>
              <w:jc w:val="center"/>
              <w:rPr>
                <w:sz w:val="24"/>
                <w:szCs w:val="24"/>
              </w:rPr>
            </w:pPr>
            <w:r w:rsidRPr="00C86443">
              <w:rPr>
                <w:sz w:val="24"/>
                <w:szCs w:val="24"/>
              </w:rPr>
              <w:t>116,6</w:t>
            </w:r>
          </w:p>
        </w:tc>
        <w:tc>
          <w:tcPr>
            <w:tcW w:w="1504" w:type="dxa"/>
          </w:tcPr>
          <w:p w:rsidR="001475EB" w:rsidRPr="00C86443" w:rsidRDefault="001475EB" w:rsidP="001475EB">
            <w:pPr>
              <w:jc w:val="center"/>
              <w:rPr>
                <w:sz w:val="24"/>
                <w:szCs w:val="24"/>
              </w:rPr>
            </w:pPr>
            <w:r w:rsidRPr="00C86443">
              <w:rPr>
                <w:sz w:val="24"/>
                <w:szCs w:val="24"/>
              </w:rPr>
              <w:t>90,4</w:t>
            </w:r>
          </w:p>
        </w:tc>
      </w:tr>
      <w:tr w:rsidR="001475EB" w:rsidRPr="00C86443" w:rsidTr="001475EB">
        <w:trPr>
          <w:trHeight w:val="363"/>
          <w:jc w:val="center"/>
        </w:trPr>
        <w:tc>
          <w:tcPr>
            <w:tcW w:w="541" w:type="dxa"/>
            <w:vAlign w:val="center"/>
          </w:tcPr>
          <w:p w:rsidR="001475EB" w:rsidRPr="00C86443" w:rsidRDefault="001475EB" w:rsidP="001475EB">
            <w:pPr>
              <w:jc w:val="center"/>
              <w:rPr>
                <w:sz w:val="24"/>
                <w:szCs w:val="24"/>
              </w:rPr>
            </w:pPr>
            <w:r w:rsidRPr="00C86443">
              <w:rPr>
                <w:sz w:val="24"/>
                <w:szCs w:val="24"/>
              </w:rPr>
              <w:t>4</w:t>
            </w:r>
          </w:p>
        </w:tc>
        <w:tc>
          <w:tcPr>
            <w:tcW w:w="2243" w:type="dxa"/>
            <w:vAlign w:val="center"/>
          </w:tcPr>
          <w:p w:rsidR="001475EB" w:rsidRPr="00C86443" w:rsidRDefault="001475EB" w:rsidP="001475EB">
            <w:pPr>
              <w:rPr>
                <w:sz w:val="24"/>
                <w:szCs w:val="24"/>
              </w:rPr>
            </w:pPr>
            <w:r w:rsidRPr="00C86443">
              <w:rPr>
                <w:sz w:val="24"/>
                <w:szCs w:val="24"/>
              </w:rPr>
              <w:t>Шерсть</w:t>
            </w:r>
          </w:p>
        </w:tc>
        <w:tc>
          <w:tcPr>
            <w:tcW w:w="1273" w:type="dxa"/>
            <w:vAlign w:val="center"/>
          </w:tcPr>
          <w:p w:rsidR="001475EB" w:rsidRPr="00C86443" w:rsidRDefault="001475EB" w:rsidP="001475EB">
            <w:pPr>
              <w:jc w:val="center"/>
              <w:rPr>
                <w:sz w:val="24"/>
                <w:szCs w:val="24"/>
              </w:rPr>
            </w:pPr>
            <w:r w:rsidRPr="00C86443">
              <w:rPr>
                <w:sz w:val="24"/>
                <w:szCs w:val="24"/>
              </w:rPr>
              <w:t>центнеров</w:t>
            </w:r>
          </w:p>
        </w:tc>
        <w:tc>
          <w:tcPr>
            <w:tcW w:w="1013" w:type="dxa"/>
            <w:vAlign w:val="center"/>
          </w:tcPr>
          <w:p w:rsidR="001475EB" w:rsidRPr="00C86443" w:rsidRDefault="001475EB" w:rsidP="001475EB">
            <w:pPr>
              <w:jc w:val="center"/>
              <w:rPr>
                <w:sz w:val="24"/>
                <w:szCs w:val="24"/>
              </w:rPr>
            </w:pPr>
            <w:r w:rsidRPr="00C86443">
              <w:rPr>
                <w:sz w:val="24"/>
                <w:szCs w:val="24"/>
              </w:rPr>
              <w:t>201</w:t>
            </w:r>
          </w:p>
        </w:tc>
        <w:tc>
          <w:tcPr>
            <w:tcW w:w="1135" w:type="dxa"/>
            <w:vAlign w:val="center"/>
          </w:tcPr>
          <w:p w:rsidR="001475EB" w:rsidRPr="00C86443" w:rsidRDefault="001475EB" w:rsidP="001475EB">
            <w:pPr>
              <w:jc w:val="center"/>
              <w:rPr>
                <w:sz w:val="24"/>
                <w:szCs w:val="24"/>
              </w:rPr>
            </w:pPr>
            <w:r w:rsidRPr="00C86443">
              <w:rPr>
                <w:sz w:val="24"/>
                <w:szCs w:val="24"/>
              </w:rPr>
              <w:t>185</w:t>
            </w:r>
          </w:p>
        </w:tc>
        <w:tc>
          <w:tcPr>
            <w:tcW w:w="1075" w:type="dxa"/>
            <w:vAlign w:val="center"/>
          </w:tcPr>
          <w:p w:rsidR="001475EB" w:rsidRPr="00C86443" w:rsidRDefault="001475EB" w:rsidP="001475EB">
            <w:pPr>
              <w:jc w:val="center"/>
              <w:rPr>
                <w:sz w:val="24"/>
                <w:szCs w:val="24"/>
              </w:rPr>
            </w:pPr>
            <w:r w:rsidRPr="00C86443">
              <w:rPr>
                <w:sz w:val="24"/>
                <w:szCs w:val="24"/>
              </w:rPr>
              <w:t>163</w:t>
            </w:r>
          </w:p>
        </w:tc>
        <w:tc>
          <w:tcPr>
            <w:tcW w:w="1353" w:type="dxa"/>
            <w:vAlign w:val="center"/>
          </w:tcPr>
          <w:p w:rsidR="001475EB" w:rsidRPr="00C86443" w:rsidRDefault="001475EB" w:rsidP="001475EB">
            <w:pPr>
              <w:jc w:val="center"/>
              <w:rPr>
                <w:sz w:val="24"/>
                <w:szCs w:val="24"/>
              </w:rPr>
            </w:pPr>
            <w:r w:rsidRPr="00C86443">
              <w:rPr>
                <w:sz w:val="24"/>
                <w:szCs w:val="24"/>
              </w:rPr>
              <w:t>92,0</w:t>
            </w:r>
          </w:p>
        </w:tc>
        <w:tc>
          <w:tcPr>
            <w:tcW w:w="1504" w:type="dxa"/>
          </w:tcPr>
          <w:p w:rsidR="001475EB" w:rsidRPr="00C86443" w:rsidRDefault="001475EB" w:rsidP="001475EB">
            <w:pPr>
              <w:jc w:val="center"/>
              <w:rPr>
                <w:sz w:val="24"/>
                <w:szCs w:val="24"/>
              </w:rPr>
            </w:pPr>
            <w:r w:rsidRPr="00C86443">
              <w:rPr>
                <w:sz w:val="24"/>
                <w:szCs w:val="24"/>
              </w:rPr>
              <w:t>88,1</w:t>
            </w:r>
          </w:p>
        </w:tc>
      </w:tr>
    </w:tbl>
    <w:p w:rsidR="00256556" w:rsidRPr="00C86443" w:rsidRDefault="00256556" w:rsidP="00256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6556" w:rsidRPr="00C86443" w:rsidRDefault="00256556" w:rsidP="00256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заключенным Соглашением между Министерством сельского  хозяйства РБ и Администрацией МР Белебеевский район РБ по производству товарного молока (СХП+КФХ)  установлены целевые индикаторы: 2023г. – 34640 тонн, 2024г. – 64940 тонн, 2025г. – 66240 тонн; 2026г. – 67560 тонн. </w:t>
      </w:r>
    </w:p>
    <w:p w:rsidR="00AC7E90" w:rsidRPr="00C86443" w:rsidRDefault="00AC7E90" w:rsidP="00AC7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Данные целевые показатели закладывались в случае реализации инвестиционных проектов </w:t>
      </w:r>
      <w:r w:rsidRPr="00C86443">
        <w:rPr>
          <w:rFonts w:ascii="Times New Roman" w:eastAsia="Times New Roman" w:hAnsi="Times New Roman" w:cs="Times New Roman"/>
          <w:i/>
          <w:sz w:val="24"/>
          <w:szCs w:val="24"/>
        </w:rPr>
        <w:t xml:space="preserve">ООО «Северная Нива Башкирия» </w:t>
      </w:r>
      <w:r w:rsidRPr="00C86443">
        <w:rPr>
          <w:rFonts w:ascii="Times New Roman" w:eastAsia="Times New Roman" w:hAnsi="Times New Roman" w:cs="Times New Roman"/>
          <w:sz w:val="24"/>
          <w:szCs w:val="24"/>
        </w:rPr>
        <w:t>в 2023-2024гг.:</w:t>
      </w:r>
      <w:r w:rsidRPr="00C8644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86443">
        <w:rPr>
          <w:rFonts w:ascii="Times New Roman" w:eastAsia="Times New Roman" w:hAnsi="Times New Roman" w:cs="Times New Roman"/>
          <w:sz w:val="24"/>
          <w:szCs w:val="24"/>
        </w:rPr>
        <w:t>«Молочный комплекс на 3300 голов в д</w:t>
      </w:r>
      <w:proofErr w:type="gramStart"/>
      <w:r w:rsidRPr="00C8644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усская Швейцария </w:t>
      </w:r>
      <w:proofErr w:type="spellStart"/>
      <w:r w:rsidRPr="00C86443">
        <w:rPr>
          <w:rFonts w:ascii="Times New Roman" w:eastAsia="Times New Roman" w:hAnsi="Times New Roman" w:cs="Times New Roman"/>
          <w:sz w:val="24"/>
          <w:szCs w:val="24"/>
        </w:rPr>
        <w:t>Максим-Горьковского</w:t>
      </w:r>
      <w:proofErr w:type="spellEnd"/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 сельсовета»; «Молочный комплекс на 3300 голов в </w:t>
      </w:r>
      <w:proofErr w:type="spellStart"/>
      <w:r w:rsidRPr="00C86443">
        <w:rPr>
          <w:rFonts w:ascii="Times New Roman" w:eastAsia="Times New Roman" w:hAnsi="Times New Roman" w:cs="Times New Roman"/>
          <w:sz w:val="24"/>
          <w:szCs w:val="24"/>
        </w:rPr>
        <w:t>с.Аделькино</w:t>
      </w:r>
      <w:proofErr w:type="spellEnd"/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443">
        <w:rPr>
          <w:rFonts w:ascii="Times New Roman" w:eastAsia="Times New Roman" w:hAnsi="Times New Roman" w:cs="Times New Roman"/>
          <w:sz w:val="24"/>
          <w:szCs w:val="24"/>
        </w:rPr>
        <w:t>Ермолкинского</w:t>
      </w:r>
      <w:proofErr w:type="spellEnd"/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 сельсовета». В связи с переносом сроков реализации данных </w:t>
      </w:r>
      <w:proofErr w:type="spellStart"/>
      <w:r w:rsidRPr="00C86443">
        <w:rPr>
          <w:rFonts w:ascii="Times New Roman" w:eastAsia="Times New Roman" w:hAnsi="Times New Roman" w:cs="Times New Roman"/>
          <w:sz w:val="24"/>
          <w:szCs w:val="24"/>
        </w:rPr>
        <w:t>инвестпроектов</w:t>
      </w:r>
      <w:proofErr w:type="spellEnd"/>
      <w:r w:rsidRPr="00C86443">
        <w:rPr>
          <w:rFonts w:ascii="Times New Roman" w:eastAsia="Times New Roman" w:hAnsi="Times New Roman" w:cs="Times New Roman"/>
          <w:sz w:val="24"/>
          <w:szCs w:val="24"/>
        </w:rPr>
        <w:t>, выполнение целевых показателей, предусмотренных соглашением невозможно.</w:t>
      </w:r>
    </w:p>
    <w:p w:rsidR="00AC7E90" w:rsidRPr="00C86443" w:rsidRDefault="00AC7E90" w:rsidP="00AC7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На 2023 год прогнозируется снижение производства молока, шерсти. Снижение производства молока отмечается в </w:t>
      </w:r>
      <w:r w:rsidRPr="00C86443">
        <w:rPr>
          <w:rFonts w:ascii="Times New Roman" w:eastAsia="Times New Roman" w:hAnsi="Times New Roman" w:cs="Times New Roman"/>
          <w:i/>
          <w:sz w:val="24"/>
          <w:szCs w:val="24"/>
        </w:rPr>
        <w:t>СПК «Малиновка», ООО «</w:t>
      </w:r>
      <w:proofErr w:type="spellStart"/>
      <w:r w:rsidRPr="00C86443">
        <w:rPr>
          <w:rFonts w:ascii="Times New Roman" w:eastAsia="Times New Roman" w:hAnsi="Times New Roman" w:cs="Times New Roman"/>
          <w:i/>
          <w:sz w:val="24"/>
          <w:szCs w:val="24"/>
        </w:rPr>
        <w:t>Чулпан</w:t>
      </w:r>
      <w:proofErr w:type="spellEnd"/>
      <w:r w:rsidRPr="00C86443">
        <w:rPr>
          <w:rFonts w:ascii="Times New Roman" w:eastAsia="Times New Roman" w:hAnsi="Times New Roman" w:cs="Times New Roman"/>
          <w:i/>
          <w:sz w:val="24"/>
          <w:szCs w:val="24"/>
        </w:rPr>
        <w:t>», ООО «Алексеевка», АО ПЗ им. М. Горького</w:t>
      </w:r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, крестьянских (фермерских) хозяйствах, в связи с сокращением поголовья дойных коров, перехода на мясное животноводство. </w:t>
      </w:r>
    </w:p>
    <w:p w:rsidR="00AC7E90" w:rsidRPr="00C86443" w:rsidRDefault="00AC7E90" w:rsidP="00AC7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1 декабря текущего года в хозяйствах района снижение поголовья сельскохозяйственных животных к соответствующему периоду прошлого года составило: поголовье крупного рогатого скота снизилось на 1300 голов, в том числе поголовье коров – на 616 голов, поголовье овец и коз – на 599 голов, лошадей – на 171 голову. </w:t>
      </w:r>
      <w:proofErr w:type="gramEnd"/>
    </w:p>
    <w:p w:rsidR="00AC7E90" w:rsidRPr="00C86443" w:rsidRDefault="00AC7E90" w:rsidP="00AC7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Сокращение поголовья в сельскохозяйственных </w:t>
      </w:r>
      <w:proofErr w:type="gramStart"/>
      <w:r w:rsidRPr="00C86443">
        <w:rPr>
          <w:rFonts w:ascii="Times New Roman" w:eastAsia="Times New Roman" w:hAnsi="Times New Roman" w:cs="Times New Roman"/>
          <w:sz w:val="24"/>
          <w:szCs w:val="24"/>
        </w:rPr>
        <w:t>предприятиях</w:t>
      </w:r>
      <w:proofErr w:type="gramEnd"/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443">
        <w:rPr>
          <w:rFonts w:ascii="Times New Roman" w:eastAsia="Times New Roman" w:hAnsi="Times New Roman" w:cs="Times New Roman"/>
          <w:i/>
          <w:sz w:val="24"/>
          <w:szCs w:val="24"/>
        </w:rPr>
        <w:t xml:space="preserve">СПК «Малиновка», СПК им.К.Иванова, ООО </w:t>
      </w:r>
      <w:proofErr w:type="spellStart"/>
      <w:r w:rsidRPr="00C86443">
        <w:rPr>
          <w:rFonts w:ascii="Times New Roman" w:eastAsia="Times New Roman" w:hAnsi="Times New Roman" w:cs="Times New Roman"/>
          <w:i/>
          <w:sz w:val="24"/>
          <w:szCs w:val="24"/>
        </w:rPr>
        <w:t>Чулпан</w:t>
      </w:r>
      <w:proofErr w:type="spellEnd"/>
      <w:r w:rsidRPr="00C86443">
        <w:rPr>
          <w:rFonts w:ascii="Times New Roman" w:eastAsia="Times New Roman" w:hAnsi="Times New Roman" w:cs="Times New Roman"/>
          <w:i/>
          <w:sz w:val="24"/>
          <w:szCs w:val="24"/>
        </w:rPr>
        <w:t>, ООО «Алексеевка», ООО «Титан»</w:t>
      </w:r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 допущено в связи с дефицитом финансовых средств, ввиду снижения выручки по итогам полевого сезона прошлого года. Прекратили свою деятельность крестьянские (фермерские) хозяйства </w:t>
      </w:r>
      <w:r w:rsidRPr="00C86443">
        <w:rPr>
          <w:rFonts w:ascii="Times New Roman" w:eastAsia="Times New Roman" w:hAnsi="Times New Roman" w:cs="Times New Roman"/>
          <w:i/>
          <w:sz w:val="24"/>
          <w:szCs w:val="24"/>
        </w:rPr>
        <w:t>Арслановой Лилии</w:t>
      </w:r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86443">
        <w:rPr>
          <w:rFonts w:ascii="Times New Roman" w:eastAsia="Times New Roman" w:hAnsi="Times New Roman" w:cs="Times New Roman"/>
          <w:i/>
          <w:sz w:val="24"/>
          <w:szCs w:val="24"/>
        </w:rPr>
        <w:t>Галиева</w:t>
      </w:r>
      <w:proofErr w:type="spellEnd"/>
      <w:r w:rsidRPr="00C86443">
        <w:rPr>
          <w:rFonts w:ascii="Times New Roman" w:eastAsia="Times New Roman" w:hAnsi="Times New Roman" w:cs="Times New Roman"/>
          <w:i/>
          <w:sz w:val="24"/>
          <w:szCs w:val="24"/>
        </w:rPr>
        <w:t xml:space="preserve"> Абдуллы, Зайнуллина </w:t>
      </w:r>
      <w:proofErr w:type="spellStart"/>
      <w:r w:rsidRPr="00C86443">
        <w:rPr>
          <w:rFonts w:ascii="Times New Roman" w:eastAsia="Times New Roman" w:hAnsi="Times New Roman" w:cs="Times New Roman"/>
          <w:i/>
          <w:sz w:val="24"/>
          <w:szCs w:val="24"/>
        </w:rPr>
        <w:t>Назыфа</w:t>
      </w:r>
      <w:proofErr w:type="spellEnd"/>
      <w:r w:rsidRPr="00C86443">
        <w:rPr>
          <w:rFonts w:ascii="Times New Roman" w:eastAsia="Times New Roman" w:hAnsi="Times New Roman" w:cs="Times New Roman"/>
          <w:i/>
          <w:sz w:val="24"/>
          <w:szCs w:val="24"/>
        </w:rPr>
        <w:t xml:space="preserve">, Полякова Павла, </w:t>
      </w:r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в других хозяйствах отмечается дефицит финансовых средств.  </w:t>
      </w:r>
    </w:p>
    <w:p w:rsidR="00AC7E90" w:rsidRPr="00C86443" w:rsidRDefault="00AC7E90" w:rsidP="00AC7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443">
        <w:rPr>
          <w:rFonts w:ascii="Times New Roman" w:eastAsia="Times New Roman" w:hAnsi="Times New Roman" w:cs="Times New Roman"/>
          <w:sz w:val="24"/>
          <w:szCs w:val="24"/>
        </w:rPr>
        <w:t>В сельскохозяйственных организациях отмечается увеличение продуктивности сельскохозяйственных животных. Надой молока на 1 корову увеличился на 694 кг к уровню 2022 года – 5582 кг. Среднесуточный привес крупного рогатого скота увеличился на 16 грамм к уровню прошлого года – 586 грамм. Среднесуточный привес свиней увеличился на 13 грамм (674 грамм).</w:t>
      </w:r>
    </w:p>
    <w:p w:rsidR="00AC7E90" w:rsidRPr="00C86443" w:rsidRDefault="00AC7E90" w:rsidP="00AC7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443">
        <w:rPr>
          <w:rFonts w:ascii="Times New Roman" w:eastAsia="Times New Roman" w:hAnsi="Times New Roman" w:cs="Times New Roman"/>
          <w:sz w:val="24"/>
          <w:szCs w:val="24"/>
        </w:rPr>
        <w:t>Объем государственной поддержки отрасли животноводства за 11 месяцев текущего года составил 7,8 млн. рублей. Господдержка была представлена субсидиями:</w:t>
      </w:r>
    </w:p>
    <w:p w:rsidR="00AC7E90" w:rsidRPr="00C86443" w:rsidRDefault="00AC7E90" w:rsidP="00AC7E9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443">
        <w:rPr>
          <w:rFonts w:ascii="Times New Roman" w:eastAsia="Times New Roman" w:hAnsi="Times New Roman" w:cs="Times New Roman"/>
          <w:sz w:val="24"/>
          <w:szCs w:val="24"/>
        </w:rPr>
        <w:t>на 1 килограмм реализованного молока – 1,6 млн. рублей;</w:t>
      </w:r>
    </w:p>
    <w:p w:rsidR="00AC7E90" w:rsidRPr="00C86443" w:rsidRDefault="00AC7E90" w:rsidP="00AC7E9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443">
        <w:rPr>
          <w:rFonts w:ascii="Times New Roman" w:eastAsia="Times New Roman" w:hAnsi="Times New Roman" w:cs="Times New Roman"/>
          <w:sz w:val="24"/>
          <w:szCs w:val="24"/>
        </w:rPr>
        <w:t>на развитие племенного животноводства – 1 млн. рублей;</w:t>
      </w:r>
    </w:p>
    <w:p w:rsidR="00AC7E90" w:rsidRPr="00C86443" w:rsidRDefault="00AC7E90" w:rsidP="00AC7E9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443">
        <w:rPr>
          <w:rFonts w:ascii="Times New Roman" w:eastAsia="Times New Roman" w:hAnsi="Times New Roman" w:cs="Times New Roman"/>
          <w:sz w:val="24"/>
          <w:szCs w:val="24"/>
        </w:rPr>
        <w:t>на содержание товарного поголовья коров специализированных мясных пород – 0,5 млн. рублей;</w:t>
      </w:r>
    </w:p>
    <w:p w:rsidR="00AC7E90" w:rsidRPr="00C86443" w:rsidRDefault="00AC7E90" w:rsidP="00AC7E9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443">
        <w:rPr>
          <w:rFonts w:ascii="Times New Roman" w:eastAsia="Times New Roman" w:hAnsi="Times New Roman" w:cs="Times New Roman"/>
          <w:sz w:val="24"/>
          <w:szCs w:val="24"/>
        </w:rPr>
        <w:t>грант на создание и развития КФХ мясного направления – 4,7 млн. рублей.</w:t>
      </w:r>
    </w:p>
    <w:p w:rsidR="002101F1" w:rsidRPr="00C86443" w:rsidRDefault="002101F1" w:rsidP="0021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4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Производство зерна (в </w:t>
      </w:r>
      <w:proofErr w:type="gramStart"/>
      <w:r w:rsidRPr="00C86443">
        <w:rPr>
          <w:rFonts w:ascii="Times New Roman" w:eastAsia="Times New Roman" w:hAnsi="Times New Roman" w:cs="Times New Roman"/>
          <w:sz w:val="24"/>
          <w:szCs w:val="24"/>
        </w:rPr>
        <w:t>весе</w:t>
      </w:r>
      <w:proofErr w:type="gramEnd"/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 после доработки) на период 2024-2026 гг. прогнозируется по консервативному варианту на уровне 51,82-51,86 </w:t>
      </w:r>
      <w:r w:rsidR="00557EBA" w:rsidRPr="00C86443">
        <w:rPr>
          <w:rFonts w:ascii="Times New Roman" w:eastAsia="Times New Roman" w:hAnsi="Times New Roman" w:cs="Times New Roman"/>
          <w:sz w:val="24"/>
          <w:szCs w:val="24"/>
        </w:rPr>
        <w:t>тыс. тонн</w:t>
      </w:r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, по базовому варианту – 56,23-56,35 </w:t>
      </w:r>
      <w:r w:rsidR="00557EBA" w:rsidRPr="00C86443">
        <w:rPr>
          <w:rFonts w:ascii="Times New Roman" w:eastAsia="Times New Roman" w:hAnsi="Times New Roman" w:cs="Times New Roman"/>
          <w:sz w:val="24"/>
          <w:szCs w:val="24"/>
        </w:rPr>
        <w:t>тыс. тонн</w:t>
      </w:r>
      <w:r w:rsidRPr="00C864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01F1" w:rsidRPr="00C86443" w:rsidRDefault="002101F1" w:rsidP="0021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Производство сахарной свеклы в муниципальном </w:t>
      </w:r>
      <w:proofErr w:type="gramStart"/>
      <w:r w:rsidRPr="00C86443">
        <w:rPr>
          <w:rFonts w:ascii="Times New Roman" w:eastAsia="Times New Roman" w:hAnsi="Times New Roman" w:cs="Times New Roman"/>
          <w:sz w:val="24"/>
          <w:szCs w:val="24"/>
        </w:rPr>
        <w:t>районе</w:t>
      </w:r>
      <w:proofErr w:type="gramEnd"/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 не планируется.</w:t>
      </w:r>
    </w:p>
    <w:p w:rsidR="002101F1" w:rsidRPr="00C86443" w:rsidRDefault="002101F1" w:rsidP="0021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Производство подсолнечника прогнозируется по консервативному варианту на уровне 7,75-7,99 </w:t>
      </w:r>
      <w:r w:rsidR="00557EBA" w:rsidRPr="00C86443">
        <w:rPr>
          <w:rFonts w:ascii="Times New Roman" w:eastAsia="Times New Roman" w:hAnsi="Times New Roman" w:cs="Times New Roman"/>
          <w:sz w:val="24"/>
          <w:szCs w:val="24"/>
        </w:rPr>
        <w:t>тыс. тонн</w:t>
      </w:r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, по базовому варианту – 7,84-8,23 </w:t>
      </w:r>
      <w:r w:rsidR="00557EBA" w:rsidRPr="00C86443">
        <w:rPr>
          <w:rFonts w:ascii="Times New Roman" w:eastAsia="Times New Roman" w:hAnsi="Times New Roman" w:cs="Times New Roman"/>
          <w:sz w:val="24"/>
          <w:szCs w:val="24"/>
        </w:rPr>
        <w:t>тыс. тонн</w:t>
      </w:r>
      <w:r w:rsidRPr="00C864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01F1" w:rsidRPr="00C86443" w:rsidRDefault="002101F1" w:rsidP="0021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Производство картофеля прогнозируется по консервативному варианту на уровне 16,99-17,03 </w:t>
      </w:r>
      <w:r w:rsidR="00557EBA" w:rsidRPr="00C86443">
        <w:rPr>
          <w:rFonts w:ascii="Times New Roman" w:eastAsia="Times New Roman" w:hAnsi="Times New Roman" w:cs="Times New Roman"/>
          <w:sz w:val="24"/>
          <w:szCs w:val="24"/>
        </w:rPr>
        <w:t>тыс. тонн</w:t>
      </w:r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, по базовому варианту – 17,01-17,09 </w:t>
      </w:r>
      <w:r w:rsidR="00557EBA" w:rsidRPr="00C86443">
        <w:rPr>
          <w:rFonts w:ascii="Times New Roman" w:eastAsia="Times New Roman" w:hAnsi="Times New Roman" w:cs="Times New Roman"/>
          <w:sz w:val="24"/>
          <w:szCs w:val="24"/>
        </w:rPr>
        <w:t>тыс. тонн</w:t>
      </w:r>
      <w:r w:rsidRPr="00C864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01F1" w:rsidRPr="00C86443" w:rsidRDefault="002101F1" w:rsidP="0021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Производство овощей прогнозируется по консервативному варианту на уровне 5,47-5,49 </w:t>
      </w:r>
      <w:r w:rsidR="00557EBA" w:rsidRPr="00C86443">
        <w:rPr>
          <w:rFonts w:ascii="Times New Roman" w:eastAsia="Times New Roman" w:hAnsi="Times New Roman" w:cs="Times New Roman"/>
          <w:sz w:val="24"/>
          <w:szCs w:val="24"/>
        </w:rPr>
        <w:t>тыс. тонн</w:t>
      </w:r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, по базовому варианту – 5,48-5,50 </w:t>
      </w:r>
      <w:r w:rsidR="00557EBA" w:rsidRPr="00C86443">
        <w:rPr>
          <w:rFonts w:ascii="Times New Roman" w:eastAsia="Times New Roman" w:hAnsi="Times New Roman" w:cs="Times New Roman"/>
          <w:sz w:val="24"/>
          <w:szCs w:val="24"/>
        </w:rPr>
        <w:t>тыс. тонн</w:t>
      </w:r>
      <w:r w:rsidRPr="00C864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01F1" w:rsidRPr="00C86443" w:rsidRDefault="002101F1" w:rsidP="0021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6443">
        <w:rPr>
          <w:rFonts w:ascii="Times New Roman" w:eastAsia="Times New Roman" w:hAnsi="Times New Roman" w:cs="Times New Roman"/>
          <w:sz w:val="24"/>
          <w:szCs w:val="24"/>
        </w:rPr>
        <w:t>В отрасли растениеводства факторами увеличения производства будут: увеличение посевных площадей сельскохозяйственных культур, ввод в оборот неиспользуемой пашни, увеличение урожайности за счет использования семян элитных сортов сельскохозяйственных культур, внесения минеральных и органических удобрений, своевременное проведение севооборотов.</w:t>
      </w:r>
      <w:proofErr w:type="gramEnd"/>
    </w:p>
    <w:p w:rsidR="002101F1" w:rsidRPr="00C86443" w:rsidRDefault="002101F1" w:rsidP="0021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Производство (выращивание) скота и птицы в </w:t>
      </w:r>
      <w:proofErr w:type="gramStart"/>
      <w:r w:rsidRPr="00C86443">
        <w:rPr>
          <w:rFonts w:ascii="Times New Roman" w:eastAsia="Times New Roman" w:hAnsi="Times New Roman" w:cs="Times New Roman"/>
          <w:sz w:val="24"/>
          <w:szCs w:val="24"/>
        </w:rPr>
        <w:t>живом</w:t>
      </w:r>
      <w:proofErr w:type="gramEnd"/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 весе на период 2024-2026 гг. прогнозируется по консервативному варианту на уровне 24345,79-25081,63 тонн, по базовому варианту – 24465,72-25454,14 тонн.</w:t>
      </w:r>
    </w:p>
    <w:p w:rsidR="002101F1" w:rsidRPr="00C86443" w:rsidRDefault="002101F1" w:rsidP="0021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443">
        <w:rPr>
          <w:rFonts w:ascii="Times New Roman" w:eastAsia="Times New Roman" w:hAnsi="Times New Roman" w:cs="Times New Roman"/>
          <w:sz w:val="24"/>
          <w:szCs w:val="24"/>
        </w:rPr>
        <w:t>Производство молока на период 2024-2026 гг. прогнозируется по консервативному варианту на уровне 15016,93-15470,81 тонн, по базовому варианту – 15090,90-15700,57 тонн.</w:t>
      </w:r>
    </w:p>
    <w:p w:rsidR="002101F1" w:rsidRPr="00C86443" w:rsidRDefault="002101F1" w:rsidP="0021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443">
        <w:rPr>
          <w:rFonts w:ascii="Times New Roman" w:eastAsia="Times New Roman" w:hAnsi="Times New Roman" w:cs="Times New Roman"/>
          <w:sz w:val="24"/>
          <w:szCs w:val="24"/>
        </w:rPr>
        <w:t>Производство яиц на период 2024-2026 гг. прогнозируется по консервативному варианту на уровне 2795-2801 тыс. штук, по базовому варианту – 2798-2808 тыс. штук.</w:t>
      </w:r>
    </w:p>
    <w:p w:rsidR="002101F1" w:rsidRPr="00C86443" w:rsidRDefault="002101F1" w:rsidP="0021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443">
        <w:rPr>
          <w:rFonts w:ascii="Times New Roman" w:eastAsia="Times New Roman" w:hAnsi="Times New Roman" w:cs="Times New Roman"/>
          <w:sz w:val="24"/>
          <w:szCs w:val="24"/>
        </w:rPr>
        <w:t>В отрасли животноводства факторами увеличения производства будут: реализация крупных инвестиционных проектов компаниями: ООО «Башкирская мясная компания», ООО «Уральская мясная компания», развитие семейных животноводческих ферм на базе крестьянских (фермерских) хозяйств, рост продуктивности сельскохозяйственных животных и наращивание поголовья скота и птицы.</w:t>
      </w:r>
    </w:p>
    <w:p w:rsidR="00256556" w:rsidRPr="00C86443" w:rsidRDefault="00256556" w:rsidP="0021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CE3" w:rsidRPr="00C86443" w:rsidRDefault="00315CE3" w:rsidP="005458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6443">
        <w:rPr>
          <w:rFonts w:ascii="Times New Roman" w:hAnsi="Times New Roman" w:cs="Times New Roman"/>
          <w:sz w:val="24"/>
          <w:szCs w:val="24"/>
        </w:rPr>
        <w:t>Финансы</w:t>
      </w:r>
    </w:p>
    <w:p w:rsidR="00052257" w:rsidRPr="00C86443" w:rsidRDefault="00052257" w:rsidP="005458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D2319" w:rsidRPr="00C86443" w:rsidRDefault="009D2319" w:rsidP="009D231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w w:val="110"/>
          <w:sz w:val="24"/>
          <w:szCs w:val="24"/>
        </w:rPr>
      </w:pPr>
      <w:r w:rsidRPr="00C86443">
        <w:rPr>
          <w:rFonts w:ascii="Times New Roman" w:hAnsi="Times New Roman"/>
          <w:spacing w:val="-6"/>
          <w:w w:val="110"/>
          <w:sz w:val="24"/>
          <w:szCs w:val="24"/>
        </w:rPr>
        <w:t>Сальдированный финансовый результат крупных и средних предприятий                      и организаций муниципального района за январь – декабрь 2022 года составил 1958,79 млн. рублей прибыли, 156,05 % к  уровню предыдущего года (январь-декабрь 2021г. – 1255,2 млн. рублей).</w:t>
      </w:r>
    </w:p>
    <w:p w:rsidR="009D2319" w:rsidRPr="00C86443" w:rsidRDefault="009D2319" w:rsidP="009D231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w w:val="110"/>
          <w:sz w:val="24"/>
          <w:szCs w:val="24"/>
        </w:rPr>
      </w:pPr>
      <w:r w:rsidRPr="00C86443">
        <w:rPr>
          <w:rFonts w:ascii="Times New Roman" w:hAnsi="Times New Roman"/>
          <w:spacing w:val="-6"/>
          <w:w w:val="110"/>
          <w:sz w:val="24"/>
          <w:szCs w:val="24"/>
        </w:rPr>
        <w:t>Прибыль прибыльных предприятий составила 2017,019 млн. рублей, что выше уровня 2021 года на 56,8 %.</w:t>
      </w:r>
    </w:p>
    <w:p w:rsidR="009D2319" w:rsidRPr="00C86443" w:rsidRDefault="009D2319" w:rsidP="009D231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w w:val="110"/>
          <w:sz w:val="24"/>
          <w:szCs w:val="24"/>
        </w:rPr>
      </w:pPr>
      <w:r w:rsidRPr="00C86443">
        <w:rPr>
          <w:rFonts w:ascii="Times New Roman" w:hAnsi="Times New Roman"/>
          <w:spacing w:val="-6"/>
          <w:w w:val="110"/>
          <w:sz w:val="24"/>
          <w:szCs w:val="24"/>
        </w:rPr>
        <w:t>На увеличение прибыли в отчетном периоде 2022 года повлияли следующие факторы:</w:t>
      </w:r>
    </w:p>
    <w:p w:rsidR="009D2319" w:rsidRPr="00C86443" w:rsidRDefault="009D2319" w:rsidP="009D231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w w:val="110"/>
          <w:sz w:val="24"/>
          <w:szCs w:val="24"/>
        </w:rPr>
      </w:pPr>
      <w:r w:rsidRPr="00C86443">
        <w:rPr>
          <w:rFonts w:ascii="Times New Roman" w:hAnsi="Times New Roman"/>
          <w:spacing w:val="-6"/>
          <w:w w:val="110"/>
          <w:sz w:val="24"/>
          <w:szCs w:val="24"/>
        </w:rPr>
        <w:t>1) реорганизация ООО «</w:t>
      </w:r>
      <w:proofErr w:type="spellStart"/>
      <w:r w:rsidRPr="00C86443">
        <w:rPr>
          <w:rFonts w:ascii="Times New Roman" w:hAnsi="Times New Roman"/>
          <w:spacing w:val="-6"/>
          <w:w w:val="110"/>
          <w:sz w:val="24"/>
          <w:szCs w:val="24"/>
        </w:rPr>
        <w:t>Шкаповское</w:t>
      </w:r>
      <w:proofErr w:type="spellEnd"/>
      <w:r w:rsidRPr="00C86443">
        <w:rPr>
          <w:rFonts w:ascii="Times New Roman" w:hAnsi="Times New Roman"/>
          <w:spacing w:val="-6"/>
          <w:w w:val="110"/>
          <w:sz w:val="24"/>
          <w:szCs w:val="24"/>
        </w:rPr>
        <w:t xml:space="preserve"> газоперерабатывающее предприятие» путем присоединения к нему ООО «</w:t>
      </w:r>
      <w:proofErr w:type="spellStart"/>
      <w:r w:rsidRPr="00C86443">
        <w:rPr>
          <w:rFonts w:ascii="Times New Roman" w:hAnsi="Times New Roman"/>
          <w:spacing w:val="-6"/>
          <w:w w:val="110"/>
          <w:sz w:val="24"/>
          <w:szCs w:val="24"/>
        </w:rPr>
        <w:t>Туймазинское</w:t>
      </w:r>
      <w:proofErr w:type="spellEnd"/>
      <w:r w:rsidRPr="00C86443">
        <w:rPr>
          <w:rFonts w:ascii="Times New Roman" w:hAnsi="Times New Roman"/>
          <w:spacing w:val="-6"/>
          <w:w w:val="110"/>
          <w:sz w:val="24"/>
          <w:szCs w:val="24"/>
        </w:rPr>
        <w:t xml:space="preserve"> газоперерабатывающее предприятие»;</w:t>
      </w:r>
    </w:p>
    <w:p w:rsidR="009D2319" w:rsidRPr="00C86443" w:rsidRDefault="009D2319" w:rsidP="009D231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w w:val="110"/>
          <w:sz w:val="24"/>
          <w:szCs w:val="24"/>
        </w:rPr>
      </w:pPr>
      <w:r w:rsidRPr="00C86443">
        <w:rPr>
          <w:rFonts w:ascii="Times New Roman" w:hAnsi="Times New Roman"/>
          <w:spacing w:val="-6"/>
          <w:w w:val="110"/>
          <w:sz w:val="24"/>
          <w:szCs w:val="24"/>
        </w:rPr>
        <w:t>2) увеличение производства продукции сельского хозяйства за счет реализации инвестиционных проектов в области свиноводства ООО «Башкирская мясная компания», ООО «Уральская мясная компания»;</w:t>
      </w:r>
    </w:p>
    <w:p w:rsidR="009D2319" w:rsidRPr="00C86443" w:rsidRDefault="009D2319" w:rsidP="009D231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w w:val="110"/>
          <w:sz w:val="24"/>
          <w:szCs w:val="24"/>
        </w:rPr>
      </w:pPr>
      <w:r w:rsidRPr="00C86443">
        <w:rPr>
          <w:rFonts w:ascii="Times New Roman" w:hAnsi="Times New Roman"/>
          <w:spacing w:val="-6"/>
          <w:w w:val="110"/>
          <w:sz w:val="24"/>
          <w:szCs w:val="24"/>
        </w:rPr>
        <w:t xml:space="preserve">3) увеличение производственных мощностей </w:t>
      </w:r>
      <w:proofErr w:type="spellStart"/>
      <w:r w:rsidRPr="00C86443">
        <w:rPr>
          <w:rFonts w:ascii="Times New Roman" w:hAnsi="Times New Roman"/>
          <w:spacing w:val="-6"/>
          <w:w w:val="110"/>
          <w:sz w:val="24"/>
          <w:szCs w:val="24"/>
        </w:rPr>
        <w:t>системообразующих</w:t>
      </w:r>
      <w:proofErr w:type="spellEnd"/>
      <w:r w:rsidRPr="00C86443">
        <w:rPr>
          <w:rFonts w:ascii="Times New Roman" w:hAnsi="Times New Roman"/>
          <w:spacing w:val="-6"/>
          <w:w w:val="110"/>
          <w:sz w:val="24"/>
          <w:szCs w:val="24"/>
        </w:rPr>
        <w:t xml:space="preserve"> предприятий </w:t>
      </w:r>
      <w:proofErr w:type="gramStart"/>
      <w:r w:rsidRPr="00C86443">
        <w:rPr>
          <w:rFonts w:ascii="Times New Roman" w:hAnsi="Times New Roman"/>
          <w:spacing w:val="-6"/>
          <w:w w:val="110"/>
          <w:sz w:val="24"/>
          <w:szCs w:val="24"/>
        </w:rPr>
        <w:t>муниципального</w:t>
      </w:r>
      <w:proofErr w:type="gramEnd"/>
      <w:r w:rsidRPr="00C86443">
        <w:rPr>
          <w:rFonts w:ascii="Times New Roman" w:hAnsi="Times New Roman"/>
          <w:spacing w:val="-6"/>
          <w:w w:val="110"/>
          <w:sz w:val="24"/>
          <w:szCs w:val="24"/>
        </w:rPr>
        <w:t xml:space="preserve"> района.</w:t>
      </w:r>
    </w:p>
    <w:p w:rsidR="00937BFE" w:rsidRPr="00C86443" w:rsidRDefault="00937BFE" w:rsidP="00937BFE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w w:val="110"/>
          <w:sz w:val="24"/>
          <w:szCs w:val="24"/>
        </w:rPr>
      </w:pPr>
      <w:r w:rsidRPr="00C86443">
        <w:rPr>
          <w:rFonts w:ascii="Times New Roman" w:hAnsi="Times New Roman"/>
          <w:spacing w:val="-6"/>
          <w:w w:val="110"/>
          <w:sz w:val="24"/>
          <w:szCs w:val="24"/>
        </w:rPr>
        <w:t>По итогам 2022 года сумма убытка убыточных предприятий района составила 58,2 млн. рублей, что на 27 млн. рублей больше, чем в предыдущем году. При этом уровень убыточности по району составил 16,7%, что на 6 п.п. ниже республиканского уровня убыточности (по РБ уровень убыточности - за  январь - декабрь 2022 г. – 22,7%.).</w:t>
      </w:r>
    </w:p>
    <w:p w:rsidR="00937BFE" w:rsidRPr="00C86443" w:rsidRDefault="00937BFE" w:rsidP="00937BFE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w w:val="110"/>
          <w:sz w:val="24"/>
          <w:szCs w:val="24"/>
        </w:rPr>
      </w:pPr>
      <w:r w:rsidRPr="00C86443">
        <w:rPr>
          <w:rFonts w:ascii="Times New Roman" w:hAnsi="Times New Roman"/>
          <w:spacing w:val="-6"/>
          <w:w w:val="110"/>
          <w:sz w:val="24"/>
          <w:szCs w:val="24"/>
        </w:rPr>
        <w:t>С отрицательным финансовым результатом завершили январь – декабрь 2022 года 3 предприятия муниципального района, в том числе 1 предприятие сельскохозяйственной отрасли (АО «</w:t>
      </w:r>
      <w:proofErr w:type="spellStart"/>
      <w:r w:rsidRPr="00C86443">
        <w:rPr>
          <w:rFonts w:ascii="Times New Roman" w:hAnsi="Times New Roman"/>
          <w:spacing w:val="-6"/>
          <w:w w:val="110"/>
          <w:sz w:val="24"/>
          <w:szCs w:val="24"/>
        </w:rPr>
        <w:t>Племзавод</w:t>
      </w:r>
      <w:proofErr w:type="spellEnd"/>
      <w:r w:rsidRPr="00C86443">
        <w:rPr>
          <w:rFonts w:ascii="Times New Roman" w:hAnsi="Times New Roman"/>
          <w:spacing w:val="-6"/>
          <w:w w:val="110"/>
          <w:sz w:val="24"/>
          <w:szCs w:val="24"/>
        </w:rPr>
        <w:t xml:space="preserve"> им. М. Горького»), 1 предприятие промышленного комплекса (ООО «</w:t>
      </w:r>
      <w:proofErr w:type="spellStart"/>
      <w:r w:rsidRPr="00C86443">
        <w:rPr>
          <w:rFonts w:ascii="Times New Roman" w:hAnsi="Times New Roman"/>
          <w:spacing w:val="-6"/>
          <w:w w:val="110"/>
          <w:sz w:val="24"/>
          <w:szCs w:val="24"/>
        </w:rPr>
        <w:t>Белавтодеталь</w:t>
      </w:r>
      <w:proofErr w:type="spellEnd"/>
      <w:r w:rsidRPr="00C86443">
        <w:rPr>
          <w:rFonts w:ascii="Times New Roman" w:hAnsi="Times New Roman"/>
          <w:spacing w:val="-6"/>
          <w:w w:val="110"/>
          <w:sz w:val="24"/>
          <w:szCs w:val="24"/>
        </w:rPr>
        <w:t>»), 1 предприятие  строительной отрасли (ООО «</w:t>
      </w:r>
      <w:proofErr w:type="spellStart"/>
      <w:r w:rsidRPr="00C86443">
        <w:rPr>
          <w:rFonts w:ascii="Times New Roman" w:hAnsi="Times New Roman"/>
          <w:spacing w:val="-6"/>
          <w:w w:val="110"/>
          <w:sz w:val="24"/>
          <w:szCs w:val="24"/>
        </w:rPr>
        <w:t>Спецстроймонтаж-Стронег</w:t>
      </w:r>
      <w:proofErr w:type="spellEnd"/>
      <w:r w:rsidRPr="00C86443">
        <w:rPr>
          <w:rFonts w:ascii="Times New Roman" w:hAnsi="Times New Roman"/>
          <w:spacing w:val="-6"/>
          <w:w w:val="110"/>
          <w:sz w:val="24"/>
          <w:szCs w:val="24"/>
        </w:rPr>
        <w:t xml:space="preserve">»). По итогам 2021 года 4 </w:t>
      </w:r>
      <w:proofErr w:type="gramStart"/>
      <w:r w:rsidRPr="00C86443">
        <w:rPr>
          <w:rFonts w:ascii="Times New Roman" w:hAnsi="Times New Roman"/>
          <w:spacing w:val="-6"/>
          <w:w w:val="110"/>
          <w:sz w:val="24"/>
          <w:szCs w:val="24"/>
        </w:rPr>
        <w:t>убыточных</w:t>
      </w:r>
      <w:proofErr w:type="gramEnd"/>
      <w:r w:rsidRPr="00C86443">
        <w:rPr>
          <w:rFonts w:ascii="Times New Roman" w:hAnsi="Times New Roman"/>
          <w:spacing w:val="-6"/>
          <w:w w:val="110"/>
          <w:sz w:val="24"/>
          <w:szCs w:val="24"/>
        </w:rPr>
        <w:t xml:space="preserve"> предприятия: </w:t>
      </w:r>
      <w:proofErr w:type="gramStart"/>
      <w:r w:rsidRPr="00C86443">
        <w:rPr>
          <w:rFonts w:ascii="Times New Roman" w:hAnsi="Times New Roman"/>
          <w:spacing w:val="-6"/>
          <w:w w:val="110"/>
          <w:sz w:val="24"/>
          <w:szCs w:val="24"/>
        </w:rPr>
        <w:t>АО «</w:t>
      </w:r>
      <w:proofErr w:type="spellStart"/>
      <w:r w:rsidRPr="00C86443">
        <w:rPr>
          <w:rFonts w:ascii="Times New Roman" w:hAnsi="Times New Roman"/>
          <w:spacing w:val="-6"/>
          <w:w w:val="110"/>
          <w:sz w:val="24"/>
          <w:szCs w:val="24"/>
        </w:rPr>
        <w:t>Племзавод</w:t>
      </w:r>
      <w:proofErr w:type="spellEnd"/>
      <w:r w:rsidRPr="00C86443">
        <w:rPr>
          <w:rFonts w:ascii="Times New Roman" w:hAnsi="Times New Roman"/>
          <w:spacing w:val="-6"/>
          <w:w w:val="110"/>
          <w:sz w:val="24"/>
          <w:szCs w:val="24"/>
        </w:rPr>
        <w:t xml:space="preserve"> им. М. </w:t>
      </w:r>
      <w:r w:rsidRPr="00C86443">
        <w:rPr>
          <w:rFonts w:ascii="Times New Roman" w:hAnsi="Times New Roman"/>
          <w:spacing w:val="-6"/>
          <w:w w:val="110"/>
          <w:sz w:val="24"/>
          <w:szCs w:val="24"/>
        </w:rPr>
        <w:lastRenderedPageBreak/>
        <w:t>Горького», МУП «Меркурий», ООО «</w:t>
      </w:r>
      <w:proofErr w:type="spellStart"/>
      <w:r w:rsidRPr="00C86443">
        <w:rPr>
          <w:rFonts w:ascii="Times New Roman" w:hAnsi="Times New Roman"/>
          <w:spacing w:val="-6"/>
          <w:w w:val="110"/>
          <w:sz w:val="24"/>
          <w:szCs w:val="24"/>
        </w:rPr>
        <w:t>Белзан</w:t>
      </w:r>
      <w:proofErr w:type="spellEnd"/>
      <w:r w:rsidRPr="00C86443">
        <w:rPr>
          <w:rFonts w:ascii="Times New Roman" w:hAnsi="Times New Roman"/>
          <w:spacing w:val="-6"/>
          <w:w w:val="110"/>
          <w:sz w:val="24"/>
          <w:szCs w:val="24"/>
        </w:rPr>
        <w:t xml:space="preserve"> МК» - ликвидирована, АО «Хлебная база № 67» -ликвидирована).</w:t>
      </w:r>
      <w:proofErr w:type="gramEnd"/>
    </w:p>
    <w:p w:rsidR="00937BFE" w:rsidRPr="00C86443" w:rsidRDefault="00937BFE" w:rsidP="00937BFE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w w:val="110"/>
          <w:sz w:val="24"/>
          <w:szCs w:val="24"/>
        </w:rPr>
      </w:pPr>
      <w:r w:rsidRPr="00C86443">
        <w:rPr>
          <w:rFonts w:ascii="Times New Roman" w:hAnsi="Times New Roman"/>
          <w:spacing w:val="-6"/>
          <w:w w:val="110"/>
          <w:sz w:val="24"/>
          <w:szCs w:val="24"/>
        </w:rPr>
        <w:t xml:space="preserve">За 9 месяцев 2023 года наблюдается увеличение общего размера убытков, полученных предприятиями района по сравнению с аналогичным периодом предыдущего года на 57,8 </w:t>
      </w:r>
      <w:r w:rsidR="00557EBA" w:rsidRPr="00C86443">
        <w:rPr>
          <w:rFonts w:ascii="Times New Roman" w:hAnsi="Times New Roman"/>
          <w:spacing w:val="-6"/>
          <w:w w:val="110"/>
          <w:sz w:val="24"/>
          <w:szCs w:val="24"/>
        </w:rPr>
        <w:t>млн. рублей</w:t>
      </w:r>
      <w:r w:rsidRPr="00C86443">
        <w:rPr>
          <w:rFonts w:ascii="Times New Roman" w:hAnsi="Times New Roman"/>
          <w:spacing w:val="-6"/>
          <w:w w:val="110"/>
          <w:sz w:val="24"/>
          <w:szCs w:val="24"/>
        </w:rPr>
        <w:t xml:space="preserve">. </w:t>
      </w:r>
    </w:p>
    <w:p w:rsidR="00937BFE" w:rsidRPr="00C86443" w:rsidRDefault="00937BFE" w:rsidP="00937BFE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w w:val="110"/>
          <w:sz w:val="24"/>
          <w:szCs w:val="24"/>
        </w:rPr>
      </w:pPr>
      <w:r w:rsidRPr="00C86443">
        <w:rPr>
          <w:rFonts w:ascii="Times New Roman" w:hAnsi="Times New Roman"/>
          <w:spacing w:val="-6"/>
          <w:w w:val="110"/>
          <w:sz w:val="24"/>
          <w:szCs w:val="24"/>
        </w:rPr>
        <w:t>Отрицательные финансовые результаты по итогам 9 месяцев имеют 4 предприятия: 1 предприятие сельскохозяйственной отрасли (ООО «Северная Нива  Башкирия»), 1 предприятие обрабатывающего производства (ООО БЗ «</w:t>
      </w:r>
      <w:proofErr w:type="spellStart"/>
      <w:r w:rsidRPr="00C86443">
        <w:rPr>
          <w:rFonts w:ascii="Times New Roman" w:hAnsi="Times New Roman"/>
          <w:spacing w:val="-6"/>
          <w:w w:val="110"/>
          <w:sz w:val="24"/>
          <w:szCs w:val="24"/>
        </w:rPr>
        <w:t>Железобетон-Стронег</w:t>
      </w:r>
      <w:proofErr w:type="spellEnd"/>
      <w:r w:rsidRPr="00C86443">
        <w:rPr>
          <w:rFonts w:ascii="Times New Roman" w:hAnsi="Times New Roman"/>
          <w:spacing w:val="-6"/>
          <w:w w:val="110"/>
          <w:sz w:val="24"/>
          <w:szCs w:val="24"/>
        </w:rPr>
        <w:t>»), 1 предприятие отрасли водоснабжения  (ООО «Белебеевский  водоканал») и 1 предприятие в сфере строительства (ООО «</w:t>
      </w:r>
      <w:proofErr w:type="spellStart"/>
      <w:r w:rsidRPr="00C86443">
        <w:rPr>
          <w:rFonts w:ascii="Times New Roman" w:hAnsi="Times New Roman"/>
          <w:spacing w:val="-6"/>
          <w:w w:val="110"/>
          <w:sz w:val="24"/>
          <w:szCs w:val="24"/>
        </w:rPr>
        <w:t>Спецстроймонтаж-Стронег</w:t>
      </w:r>
      <w:proofErr w:type="spellEnd"/>
      <w:r w:rsidRPr="00C86443">
        <w:rPr>
          <w:rFonts w:ascii="Times New Roman" w:hAnsi="Times New Roman"/>
          <w:spacing w:val="-6"/>
          <w:w w:val="110"/>
          <w:sz w:val="24"/>
          <w:szCs w:val="24"/>
        </w:rPr>
        <w:t>»).</w:t>
      </w:r>
    </w:p>
    <w:p w:rsidR="00937BFE" w:rsidRPr="00C86443" w:rsidRDefault="00937BFE" w:rsidP="00937BFE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w w:val="110"/>
          <w:sz w:val="24"/>
          <w:szCs w:val="24"/>
        </w:rPr>
      </w:pPr>
      <w:r w:rsidRPr="00C86443">
        <w:rPr>
          <w:rFonts w:ascii="Times New Roman" w:hAnsi="Times New Roman"/>
          <w:spacing w:val="-6"/>
          <w:w w:val="110"/>
          <w:sz w:val="24"/>
          <w:szCs w:val="24"/>
        </w:rPr>
        <w:t>С учетом статистических данных, сведений с убыточных предприятий муниципального района, произошло снижение темпов роста прибыли по сравнению со значениями, прогнозируемыми летом текущего года.</w:t>
      </w:r>
    </w:p>
    <w:p w:rsidR="00937BFE" w:rsidRPr="00C86443" w:rsidRDefault="00937BFE" w:rsidP="00937BFE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w w:val="110"/>
          <w:sz w:val="24"/>
          <w:szCs w:val="24"/>
        </w:rPr>
      </w:pPr>
      <w:r w:rsidRPr="00C86443">
        <w:rPr>
          <w:rFonts w:ascii="Times New Roman" w:hAnsi="Times New Roman"/>
          <w:spacing w:val="-6"/>
          <w:w w:val="110"/>
          <w:sz w:val="24"/>
          <w:szCs w:val="24"/>
        </w:rPr>
        <w:t xml:space="preserve">Основная доля убытков </w:t>
      </w:r>
      <w:proofErr w:type="gramStart"/>
      <w:r w:rsidRPr="00C86443">
        <w:rPr>
          <w:rFonts w:ascii="Times New Roman" w:hAnsi="Times New Roman"/>
          <w:spacing w:val="-6"/>
          <w:w w:val="110"/>
          <w:sz w:val="24"/>
          <w:szCs w:val="24"/>
        </w:rPr>
        <w:t>муниципального</w:t>
      </w:r>
      <w:proofErr w:type="gramEnd"/>
      <w:r w:rsidRPr="00C86443">
        <w:rPr>
          <w:rFonts w:ascii="Times New Roman" w:hAnsi="Times New Roman"/>
          <w:spacing w:val="-6"/>
          <w:w w:val="110"/>
          <w:sz w:val="24"/>
          <w:szCs w:val="24"/>
        </w:rPr>
        <w:t xml:space="preserve"> района приходится на ООО «Северная Нива Башкирия». Основным источником инвестиций данного предприятия являются заемные средства. По данным бухгалтерского баланса за 2022 год сумма заемных краткосрочных и долгосрочных средств составляют 3,4 млрд. рублей, при стоимости имущества 4,9 млрд. рублей. За счет уплаты предприятием больших процентов по кредитам, последние три года наблюдается убыток. </w:t>
      </w:r>
    </w:p>
    <w:p w:rsidR="00937BFE" w:rsidRPr="00C86443" w:rsidRDefault="00937BFE" w:rsidP="00937BFE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w w:val="110"/>
          <w:sz w:val="24"/>
          <w:szCs w:val="24"/>
        </w:rPr>
      </w:pPr>
      <w:r w:rsidRPr="00C86443">
        <w:rPr>
          <w:rFonts w:ascii="Times New Roman" w:hAnsi="Times New Roman"/>
          <w:spacing w:val="-6"/>
          <w:w w:val="110"/>
          <w:sz w:val="24"/>
          <w:szCs w:val="24"/>
        </w:rPr>
        <w:t>По сравнению с летним прогнозом скорректирован размер прибыли прибыльных организаций в сторону снижения показателя в текущем году и на последующий период исходя из статистических данных за 9 месяцев текущего года. Также снижено сальдо прибылей и убытков исходя из сложившейся на предприятиях ситуации  и с учётом данных по убыточным предприятиям.</w:t>
      </w:r>
    </w:p>
    <w:p w:rsidR="00937BFE" w:rsidRPr="00C86443" w:rsidRDefault="00937BFE" w:rsidP="00937BFE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w w:val="110"/>
          <w:sz w:val="24"/>
          <w:szCs w:val="24"/>
        </w:rPr>
      </w:pPr>
      <w:r w:rsidRPr="00C86443">
        <w:rPr>
          <w:rFonts w:ascii="Times New Roman" w:hAnsi="Times New Roman"/>
          <w:spacing w:val="-6"/>
          <w:w w:val="110"/>
          <w:sz w:val="24"/>
          <w:szCs w:val="24"/>
        </w:rPr>
        <w:t xml:space="preserve">Снижение </w:t>
      </w:r>
      <w:proofErr w:type="gramStart"/>
      <w:r w:rsidRPr="00C86443">
        <w:rPr>
          <w:rFonts w:ascii="Times New Roman" w:hAnsi="Times New Roman"/>
          <w:spacing w:val="-6"/>
          <w:w w:val="110"/>
          <w:sz w:val="24"/>
          <w:szCs w:val="24"/>
        </w:rPr>
        <w:t>темпов роста прибыли предприятий</w:t>
      </w:r>
      <w:proofErr w:type="gramEnd"/>
      <w:r w:rsidRPr="00C86443">
        <w:rPr>
          <w:rFonts w:ascii="Times New Roman" w:hAnsi="Times New Roman"/>
          <w:spacing w:val="-6"/>
          <w:w w:val="110"/>
          <w:sz w:val="24"/>
          <w:szCs w:val="24"/>
        </w:rPr>
        <w:t xml:space="preserve"> обусловлено следующими причинами: </w:t>
      </w:r>
    </w:p>
    <w:p w:rsidR="00937BFE" w:rsidRPr="00C86443" w:rsidRDefault="00937BFE" w:rsidP="00937BFE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w w:val="110"/>
          <w:sz w:val="24"/>
          <w:szCs w:val="24"/>
        </w:rPr>
      </w:pPr>
      <w:proofErr w:type="gramStart"/>
      <w:r w:rsidRPr="00C86443">
        <w:rPr>
          <w:rFonts w:ascii="Times New Roman" w:hAnsi="Times New Roman"/>
          <w:spacing w:val="-6"/>
          <w:w w:val="110"/>
          <w:sz w:val="24"/>
          <w:szCs w:val="24"/>
        </w:rPr>
        <w:t xml:space="preserve">- </w:t>
      </w:r>
      <w:r w:rsidR="00557EBA" w:rsidRPr="00C86443">
        <w:rPr>
          <w:rFonts w:ascii="Times New Roman" w:hAnsi="Times New Roman"/>
          <w:spacing w:val="-6"/>
          <w:w w:val="110"/>
          <w:sz w:val="24"/>
          <w:szCs w:val="24"/>
        </w:rPr>
        <w:t>увеличение издержек</w:t>
      </w:r>
      <w:r w:rsidRPr="00C86443">
        <w:rPr>
          <w:rFonts w:ascii="Times New Roman" w:hAnsi="Times New Roman"/>
          <w:spacing w:val="-6"/>
          <w:w w:val="110"/>
          <w:sz w:val="24"/>
          <w:szCs w:val="24"/>
        </w:rPr>
        <w:t xml:space="preserve"> предприятий (рост минимального размера оплаты труда, отпускных цен поставщиков на сырье (в частности металл для предприятий машиностроения) энергоресурсы);</w:t>
      </w:r>
      <w:proofErr w:type="gramEnd"/>
    </w:p>
    <w:p w:rsidR="00937BFE" w:rsidRPr="00C86443" w:rsidRDefault="00937BFE" w:rsidP="00937BFE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w w:val="110"/>
          <w:sz w:val="24"/>
          <w:szCs w:val="24"/>
        </w:rPr>
      </w:pPr>
      <w:r w:rsidRPr="00C86443">
        <w:rPr>
          <w:rFonts w:ascii="Times New Roman" w:hAnsi="Times New Roman"/>
          <w:spacing w:val="-6"/>
          <w:w w:val="110"/>
          <w:sz w:val="24"/>
          <w:szCs w:val="24"/>
        </w:rPr>
        <w:t xml:space="preserve">          - сдерживание роста отпускных цен на продукцию  в целях сохранения рынков сбыта произведенной продукции;</w:t>
      </w:r>
    </w:p>
    <w:p w:rsidR="00937BFE" w:rsidRPr="00C86443" w:rsidRDefault="00937BFE" w:rsidP="00937BFE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w w:val="110"/>
          <w:sz w:val="24"/>
          <w:szCs w:val="24"/>
        </w:rPr>
      </w:pPr>
      <w:r w:rsidRPr="00C86443">
        <w:rPr>
          <w:rFonts w:ascii="Times New Roman" w:hAnsi="Times New Roman"/>
          <w:spacing w:val="-6"/>
          <w:w w:val="110"/>
          <w:sz w:val="24"/>
          <w:szCs w:val="24"/>
        </w:rPr>
        <w:t xml:space="preserve">          - погашение кредитов банков;</w:t>
      </w:r>
    </w:p>
    <w:p w:rsidR="00937BFE" w:rsidRPr="00C86443" w:rsidRDefault="00937BFE" w:rsidP="00937BFE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w w:val="110"/>
          <w:sz w:val="24"/>
          <w:szCs w:val="24"/>
        </w:rPr>
      </w:pPr>
      <w:r w:rsidRPr="00C86443">
        <w:rPr>
          <w:rFonts w:ascii="Times New Roman" w:hAnsi="Times New Roman"/>
          <w:spacing w:val="-6"/>
          <w:w w:val="110"/>
          <w:sz w:val="24"/>
          <w:szCs w:val="24"/>
        </w:rPr>
        <w:t xml:space="preserve">          - списание убытков прошлых лет;</w:t>
      </w:r>
    </w:p>
    <w:p w:rsidR="00937BFE" w:rsidRPr="00C86443" w:rsidRDefault="00937BFE" w:rsidP="00937BFE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w w:val="110"/>
          <w:sz w:val="24"/>
          <w:szCs w:val="24"/>
        </w:rPr>
      </w:pPr>
      <w:r w:rsidRPr="00C86443">
        <w:rPr>
          <w:rFonts w:ascii="Times New Roman" w:hAnsi="Times New Roman"/>
          <w:spacing w:val="-6"/>
          <w:w w:val="110"/>
          <w:sz w:val="24"/>
          <w:szCs w:val="24"/>
        </w:rPr>
        <w:t xml:space="preserve">          - технологическое перевооружение производства.</w:t>
      </w:r>
    </w:p>
    <w:p w:rsidR="00937BFE" w:rsidRPr="00C86443" w:rsidRDefault="00937BFE" w:rsidP="00937BFE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w w:val="110"/>
          <w:sz w:val="24"/>
          <w:szCs w:val="24"/>
        </w:rPr>
      </w:pPr>
      <w:r w:rsidRPr="00C86443">
        <w:rPr>
          <w:rFonts w:ascii="Times New Roman" w:hAnsi="Times New Roman"/>
          <w:spacing w:val="-6"/>
          <w:w w:val="110"/>
          <w:sz w:val="24"/>
          <w:szCs w:val="24"/>
        </w:rPr>
        <w:t>Предприятия промышленного комплекса муниципального района Белебеевский район Республики Башкортостан, оказывающие существенное значение на формирование прибыли:</w:t>
      </w:r>
    </w:p>
    <w:p w:rsidR="00937BFE" w:rsidRPr="00C86443" w:rsidRDefault="00937BFE" w:rsidP="00937BFE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w w:val="110"/>
          <w:sz w:val="24"/>
          <w:szCs w:val="24"/>
        </w:rPr>
      </w:pPr>
      <w:r w:rsidRPr="00C86443">
        <w:rPr>
          <w:rFonts w:ascii="Times New Roman" w:hAnsi="Times New Roman"/>
          <w:spacing w:val="-6"/>
          <w:w w:val="110"/>
          <w:sz w:val="24"/>
          <w:szCs w:val="24"/>
        </w:rPr>
        <w:t>- АО «Белебеевский  завод "</w:t>
      </w:r>
      <w:proofErr w:type="spellStart"/>
      <w:r w:rsidRPr="00C86443">
        <w:rPr>
          <w:rFonts w:ascii="Times New Roman" w:hAnsi="Times New Roman"/>
          <w:spacing w:val="-6"/>
          <w:w w:val="110"/>
          <w:sz w:val="24"/>
          <w:szCs w:val="24"/>
        </w:rPr>
        <w:t>Автонормаль</w:t>
      </w:r>
      <w:proofErr w:type="spellEnd"/>
      <w:r w:rsidRPr="00C86443">
        <w:rPr>
          <w:rFonts w:ascii="Times New Roman" w:hAnsi="Times New Roman"/>
          <w:spacing w:val="-6"/>
          <w:w w:val="110"/>
          <w:sz w:val="24"/>
          <w:szCs w:val="24"/>
        </w:rPr>
        <w:t>"»;</w:t>
      </w:r>
    </w:p>
    <w:p w:rsidR="00937BFE" w:rsidRPr="00C86443" w:rsidRDefault="00937BFE" w:rsidP="00937BFE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w w:val="110"/>
          <w:sz w:val="24"/>
          <w:szCs w:val="24"/>
        </w:rPr>
      </w:pPr>
      <w:r w:rsidRPr="00C86443">
        <w:rPr>
          <w:rFonts w:ascii="Times New Roman" w:hAnsi="Times New Roman"/>
          <w:spacing w:val="-6"/>
          <w:w w:val="110"/>
          <w:sz w:val="24"/>
          <w:szCs w:val="24"/>
        </w:rPr>
        <w:t>- ОАО «Керамика»;</w:t>
      </w:r>
    </w:p>
    <w:p w:rsidR="00937BFE" w:rsidRPr="00C86443" w:rsidRDefault="00937BFE" w:rsidP="00937BFE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w w:val="110"/>
          <w:sz w:val="24"/>
          <w:szCs w:val="24"/>
        </w:rPr>
      </w:pPr>
      <w:r w:rsidRPr="00C86443">
        <w:rPr>
          <w:rFonts w:ascii="Times New Roman" w:hAnsi="Times New Roman"/>
          <w:spacing w:val="-6"/>
          <w:w w:val="110"/>
          <w:sz w:val="24"/>
          <w:szCs w:val="24"/>
        </w:rPr>
        <w:t>- ОАО «Белебеевский  ордена "Знак Почёта" молочный комбинат»;</w:t>
      </w:r>
    </w:p>
    <w:p w:rsidR="00937BFE" w:rsidRPr="00C86443" w:rsidRDefault="00937BFE" w:rsidP="00937BFE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w w:val="110"/>
          <w:sz w:val="24"/>
          <w:szCs w:val="24"/>
        </w:rPr>
      </w:pPr>
      <w:r w:rsidRPr="00C86443">
        <w:rPr>
          <w:rFonts w:ascii="Times New Roman" w:hAnsi="Times New Roman"/>
          <w:spacing w:val="-6"/>
          <w:w w:val="110"/>
          <w:sz w:val="24"/>
          <w:szCs w:val="24"/>
        </w:rPr>
        <w:t>- ООО «</w:t>
      </w:r>
      <w:proofErr w:type="spellStart"/>
      <w:r w:rsidRPr="00C86443">
        <w:rPr>
          <w:rFonts w:ascii="Times New Roman" w:hAnsi="Times New Roman"/>
          <w:spacing w:val="-6"/>
          <w:w w:val="110"/>
          <w:sz w:val="24"/>
          <w:szCs w:val="24"/>
        </w:rPr>
        <w:t>Шкаповское</w:t>
      </w:r>
      <w:proofErr w:type="spellEnd"/>
      <w:r w:rsidRPr="00C86443">
        <w:rPr>
          <w:rFonts w:ascii="Times New Roman" w:hAnsi="Times New Roman"/>
          <w:spacing w:val="-6"/>
          <w:w w:val="110"/>
          <w:sz w:val="24"/>
          <w:szCs w:val="24"/>
        </w:rPr>
        <w:t xml:space="preserve"> газоперерабатывающее предприятие»;</w:t>
      </w:r>
    </w:p>
    <w:p w:rsidR="00937BFE" w:rsidRPr="00C86443" w:rsidRDefault="00937BFE" w:rsidP="00937BFE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w w:val="110"/>
          <w:sz w:val="24"/>
          <w:szCs w:val="24"/>
        </w:rPr>
      </w:pPr>
      <w:r w:rsidRPr="00C86443">
        <w:rPr>
          <w:rFonts w:ascii="Times New Roman" w:hAnsi="Times New Roman"/>
          <w:spacing w:val="-6"/>
          <w:w w:val="110"/>
          <w:sz w:val="24"/>
          <w:szCs w:val="24"/>
        </w:rPr>
        <w:t>- ООО НПП «АММА»;</w:t>
      </w:r>
    </w:p>
    <w:p w:rsidR="00937BFE" w:rsidRPr="00C86443" w:rsidRDefault="00937BFE" w:rsidP="00937BFE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w w:val="110"/>
          <w:sz w:val="24"/>
          <w:szCs w:val="24"/>
        </w:rPr>
      </w:pPr>
      <w:r w:rsidRPr="00C86443">
        <w:rPr>
          <w:rFonts w:ascii="Times New Roman" w:hAnsi="Times New Roman"/>
          <w:spacing w:val="-6"/>
          <w:w w:val="110"/>
          <w:sz w:val="24"/>
          <w:szCs w:val="24"/>
        </w:rPr>
        <w:t>- ООО «</w:t>
      </w:r>
      <w:proofErr w:type="spellStart"/>
      <w:r w:rsidRPr="00C86443">
        <w:rPr>
          <w:rFonts w:ascii="Times New Roman" w:hAnsi="Times New Roman"/>
          <w:spacing w:val="-6"/>
          <w:w w:val="110"/>
          <w:sz w:val="24"/>
          <w:szCs w:val="24"/>
        </w:rPr>
        <w:t>Белебеевские</w:t>
      </w:r>
      <w:proofErr w:type="spellEnd"/>
      <w:r w:rsidRPr="00C86443">
        <w:rPr>
          <w:rFonts w:ascii="Times New Roman" w:hAnsi="Times New Roman"/>
          <w:spacing w:val="-6"/>
          <w:w w:val="110"/>
          <w:sz w:val="24"/>
          <w:szCs w:val="24"/>
        </w:rPr>
        <w:t xml:space="preserve"> городские электрические сети».</w:t>
      </w:r>
    </w:p>
    <w:p w:rsidR="00937BFE" w:rsidRPr="00C86443" w:rsidRDefault="00937BFE" w:rsidP="00937BFE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w w:val="110"/>
          <w:sz w:val="24"/>
          <w:szCs w:val="24"/>
        </w:rPr>
      </w:pPr>
      <w:r w:rsidRPr="00C86443">
        <w:rPr>
          <w:rFonts w:ascii="Times New Roman" w:hAnsi="Times New Roman"/>
          <w:spacing w:val="-6"/>
          <w:w w:val="110"/>
          <w:sz w:val="24"/>
          <w:szCs w:val="24"/>
        </w:rPr>
        <w:t xml:space="preserve">В текущем году ожидается как снижение </w:t>
      </w:r>
      <w:proofErr w:type="gramStart"/>
      <w:r w:rsidRPr="00C86443">
        <w:rPr>
          <w:rFonts w:ascii="Times New Roman" w:hAnsi="Times New Roman"/>
          <w:spacing w:val="-6"/>
          <w:w w:val="110"/>
          <w:sz w:val="24"/>
          <w:szCs w:val="24"/>
        </w:rPr>
        <w:t>темпов роста убытков предприятий</w:t>
      </w:r>
      <w:proofErr w:type="gramEnd"/>
      <w:r w:rsidRPr="00C86443">
        <w:rPr>
          <w:rFonts w:ascii="Times New Roman" w:hAnsi="Times New Roman"/>
          <w:spacing w:val="-6"/>
          <w:w w:val="110"/>
          <w:sz w:val="24"/>
          <w:szCs w:val="24"/>
        </w:rPr>
        <w:t xml:space="preserve"> района, так и прибыли с планомерным ростом в прогнозируемом периоде. </w:t>
      </w:r>
    </w:p>
    <w:p w:rsidR="00937BFE" w:rsidRPr="00C86443" w:rsidRDefault="00937BFE" w:rsidP="00937BFE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w w:val="110"/>
          <w:sz w:val="24"/>
          <w:szCs w:val="24"/>
        </w:rPr>
      </w:pPr>
      <w:r w:rsidRPr="00C86443">
        <w:rPr>
          <w:rFonts w:ascii="Times New Roman" w:hAnsi="Times New Roman"/>
          <w:spacing w:val="-6"/>
          <w:w w:val="110"/>
          <w:sz w:val="24"/>
          <w:szCs w:val="24"/>
        </w:rPr>
        <w:t>При разработке прогноза на 2024 год и на плановый период 2025 и 2026 годов, и до 2036 года были учтены следующие факторы:</w:t>
      </w:r>
    </w:p>
    <w:p w:rsidR="00937BFE" w:rsidRPr="00C86443" w:rsidRDefault="00937BFE" w:rsidP="00937BFE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w w:val="110"/>
          <w:sz w:val="24"/>
          <w:szCs w:val="24"/>
        </w:rPr>
      </w:pPr>
      <w:r w:rsidRPr="00C86443">
        <w:rPr>
          <w:rFonts w:ascii="Times New Roman" w:hAnsi="Times New Roman"/>
          <w:spacing w:val="-6"/>
          <w:w w:val="110"/>
          <w:sz w:val="24"/>
          <w:szCs w:val="24"/>
        </w:rPr>
        <w:t xml:space="preserve">- реализация  проектов, направленных на диверсификацию производства; </w:t>
      </w:r>
    </w:p>
    <w:p w:rsidR="00937BFE" w:rsidRPr="00C86443" w:rsidRDefault="00937BFE" w:rsidP="00937BFE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w w:val="110"/>
          <w:sz w:val="24"/>
          <w:szCs w:val="24"/>
        </w:rPr>
      </w:pPr>
      <w:r w:rsidRPr="00C86443">
        <w:rPr>
          <w:rFonts w:ascii="Times New Roman" w:hAnsi="Times New Roman"/>
          <w:spacing w:val="-6"/>
          <w:w w:val="110"/>
          <w:sz w:val="24"/>
          <w:szCs w:val="24"/>
        </w:rPr>
        <w:t>- расширение рынков сбыта продукции;</w:t>
      </w:r>
    </w:p>
    <w:p w:rsidR="00937BFE" w:rsidRPr="00C86443" w:rsidRDefault="00937BFE" w:rsidP="00937BFE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w w:val="110"/>
          <w:sz w:val="24"/>
          <w:szCs w:val="24"/>
        </w:rPr>
      </w:pPr>
      <w:r w:rsidRPr="00C86443">
        <w:rPr>
          <w:rFonts w:ascii="Times New Roman" w:hAnsi="Times New Roman"/>
          <w:spacing w:val="-6"/>
          <w:w w:val="110"/>
          <w:sz w:val="24"/>
          <w:szCs w:val="24"/>
        </w:rPr>
        <w:t xml:space="preserve">- минимизация </w:t>
      </w:r>
      <w:proofErr w:type="spellStart"/>
      <w:r w:rsidRPr="00C86443">
        <w:rPr>
          <w:rFonts w:ascii="Times New Roman" w:hAnsi="Times New Roman"/>
          <w:spacing w:val="-6"/>
          <w:w w:val="110"/>
          <w:sz w:val="24"/>
          <w:szCs w:val="24"/>
        </w:rPr>
        <w:t>монопрофильной</w:t>
      </w:r>
      <w:proofErr w:type="spellEnd"/>
      <w:r w:rsidRPr="00C86443">
        <w:rPr>
          <w:rFonts w:ascii="Times New Roman" w:hAnsi="Times New Roman"/>
          <w:spacing w:val="-6"/>
          <w:w w:val="110"/>
          <w:sz w:val="24"/>
          <w:szCs w:val="24"/>
        </w:rPr>
        <w:t xml:space="preserve"> структуры экономики района;</w:t>
      </w:r>
    </w:p>
    <w:p w:rsidR="00937BFE" w:rsidRPr="00C86443" w:rsidRDefault="00937BFE" w:rsidP="00937BFE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w w:val="110"/>
          <w:sz w:val="24"/>
          <w:szCs w:val="24"/>
        </w:rPr>
      </w:pPr>
      <w:r w:rsidRPr="00C86443">
        <w:rPr>
          <w:rFonts w:ascii="Times New Roman" w:hAnsi="Times New Roman"/>
          <w:spacing w:val="-6"/>
          <w:w w:val="110"/>
          <w:sz w:val="24"/>
          <w:szCs w:val="24"/>
        </w:rPr>
        <w:t>- реализация новых инвестиционных проектов, направленных на создание новых производств, а также создание новых рабочих мест;</w:t>
      </w:r>
    </w:p>
    <w:p w:rsidR="00937BFE" w:rsidRPr="00C86443" w:rsidRDefault="00937BFE" w:rsidP="00937BFE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w w:val="110"/>
          <w:sz w:val="24"/>
          <w:szCs w:val="24"/>
        </w:rPr>
      </w:pPr>
      <w:r w:rsidRPr="00C86443">
        <w:rPr>
          <w:rFonts w:ascii="Times New Roman" w:hAnsi="Times New Roman"/>
          <w:spacing w:val="-6"/>
          <w:w w:val="110"/>
          <w:sz w:val="24"/>
          <w:szCs w:val="24"/>
        </w:rPr>
        <w:t xml:space="preserve">- участие предприятий района в дополнительных </w:t>
      </w:r>
      <w:proofErr w:type="gramStart"/>
      <w:r w:rsidRPr="00C86443">
        <w:rPr>
          <w:rFonts w:ascii="Times New Roman" w:hAnsi="Times New Roman"/>
          <w:spacing w:val="-6"/>
          <w:w w:val="110"/>
          <w:sz w:val="24"/>
          <w:szCs w:val="24"/>
        </w:rPr>
        <w:t>мероприятиях</w:t>
      </w:r>
      <w:proofErr w:type="gramEnd"/>
      <w:r w:rsidRPr="00C86443">
        <w:rPr>
          <w:rFonts w:ascii="Times New Roman" w:hAnsi="Times New Roman"/>
          <w:spacing w:val="-6"/>
          <w:w w:val="110"/>
          <w:sz w:val="24"/>
          <w:szCs w:val="24"/>
        </w:rPr>
        <w:t>, направленных на снижение напряженности на рынке труда и сохранения занятости.</w:t>
      </w:r>
    </w:p>
    <w:p w:rsidR="00256556" w:rsidRPr="00C86443" w:rsidRDefault="00256556" w:rsidP="00545875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w w:val="110"/>
          <w:sz w:val="24"/>
          <w:szCs w:val="24"/>
        </w:rPr>
      </w:pPr>
    </w:p>
    <w:p w:rsidR="00937BFE" w:rsidRPr="00C86443" w:rsidRDefault="00937BFE" w:rsidP="0013136F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w w:val="110"/>
          <w:sz w:val="24"/>
          <w:szCs w:val="24"/>
        </w:rPr>
      </w:pPr>
      <w:proofErr w:type="gramStart"/>
      <w:r w:rsidRPr="00C86443">
        <w:rPr>
          <w:rFonts w:ascii="Times New Roman" w:hAnsi="Times New Roman"/>
          <w:spacing w:val="-6"/>
          <w:w w:val="110"/>
          <w:sz w:val="24"/>
          <w:szCs w:val="24"/>
        </w:rPr>
        <w:lastRenderedPageBreak/>
        <w:t>Поступления доходной части консолидированного бюджета муниципального района Белебеевский район Республики Башкортостан на текущий финансовый  2023 год и на плановый период 2024-2026 год</w:t>
      </w:r>
      <w:r w:rsidR="0013136F" w:rsidRPr="00C86443">
        <w:rPr>
          <w:rFonts w:ascii="Times New Roman" w:hAnsi="Times New Roman"/>
          <w:spacing w:val="-6"/>
          <w:w w:val="110"/>
          <w:sz w:val="24"/>
          <w:szCs w:val="24"/>
        </w:rPr>
        <w:t>ы</w:t>
      </w:r>
      <w:r w:rsidRPr="00C86443">
        <w:rPr>
          <w:rFonts w:ascii="Times New Roman" w:hAnsi="Times New Roman"/>
          <w:spacing w:val="-6"/>
          <w:w w:val="110"/>
          <w:sz w:val="24"/>
          <w:szCs w:val="24"/>
        </w:rPr>
        <w:t xml:space="preserve"> определен в соответствии со статьей 169 Бюджетного кодекса Российской Федерации, Положением о бюджетном процессе, определен с учетом направленности налоговой политики на улучшение инвестиционного климата, обеспечение достижения установленных показателей по росту доходов консолидированного бюджета муниципального района Белебеевский район Республики</w:t>
      </w:r>
      <w:proofErr w:type="gramEnd"/>
      <w:r w:rsidRPr="00C86443">
        <w:rPr>
          <w:rFonts w:ascii="Times New Roman" w:hAnsi="Times New Roman"/>
          <w:spacing w:val="-6"/>
          <w:w w:val="110"/>
          <w:sz w:val="24"/>
          <w:szCs w:val="24"/>
        </w:rPr>
        <w:t xml:space="preserve"> Башкортостан, создание налоговых условий, обеспечивающих стабильный рост доходного потенциала района.</w:t>
      </w:r>
    </w:p>
    <w:p w:rsidR="00937BFE" w:rsidRPr="00C86443" w:rsidRDefault="00937BFE" w:rsidP="00937BFE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w w:val="110"/>
          <w:sz w:val="24"/>
          <w:szCs w:val="24"/>
        </w:rPr>
      </w:pPr>
      <w:r w:rsidRPr="00C86443">
        <w:rPr>
          <w:rFonts w:ascii="Times New Roman" w:hAnsi="Times New Roman"/>
          <w:spacing w:val="-6"/>
          <w:w w:val="110"/>
          <w:sz w:val="24"/>
          <w:szCs w:val="24"/>
        </w:rPr>
        <w:t>Прогноз осуществлялся на основных параметрах прогноза социально-экономического развития района, анализе динамики поступлений доходов, на основе принятых налоговой политики и бюджетной политики муниципального района Белебеевский район Республики Башкортостан.</w:t>
      </w:r>
    </w:p>
    <w:p w:rsidR="00937BFE" w:rsidRPr="00C86443" w:rsidRDefault="00937BFE" w:rsidP="0013136F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w w:val="110"/>
          <w:sz w:val="24"/>
          <w:szCs w:val="24"/>
        </w:rPr>
      </w:pPr>
      <w:r w:rsidRPr="00C86443">
        <w:rPr>
          <w:rFonts w:ascii="Times New Roman" w:hAnsi="Times New Roman"/>
          <w:spacing w:val="-6"/>
          <w:w w:val="110"/>
          <w:sz w:val="24"/>
          <w:szCs w:val="24"/>
        </w:rPr>
        <w:t xml:space="preserve">Консолидированный бюджет муниципального района Белебеевский район Республики Башкортостан по итогам 2022 года исполнен по доходам  в сумме 2 602,04 млн. рублей, что составляет 102,9% к  уровню 2021 года (2021 год – 2 529,60 млн. рублей)  и 101,3% к плану.  </w:t>
      </w:r>
    </w:p>
    <w:p w:rsidR="00937BFE" w:rsidRPr="00C86443" w:rsidRDefault="00937BFE" w:rsidP="0013136F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w w:val="110"/>
          <w:sz w:val="24"/>
          <w:szCs w:val="24"/>
        </w:rPr>
      </w:pPr>
      <w:r w:rsidRPr="00C86443">
        <w:rPr>
          <w:rFonts w:ascii="Times New Roman" w:hAnsi="Times New Roman"/>
          <w:spacing w:val="-6"/>
          <w:w w:val="110"/>
          <w:sz w:val="24"/>
          <w:szCs w:val="24"/>
        </w:rPr>
        <w:t>Из общего объема доходов, поступление налоговых и неналоговых доходов составило  941,33 млн. рублей, что составляет 127,8 % к уровню 2021 года  (2021 год – 736,49 млн. рублей) и 105,9% к плану.</w:t>
      </w:r>
    </w:p>
    <w:p w:rsidR="00937BFE" w:rsidRPr="00C86443" w:rsidRDefault="00937BFE" w:rsidP="0013136F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w w:val="110"/>
          <w:sz w:val="24"/>
          <w:szCs w:val="24"/>
        </w:rPr>
      </w:pPr>
      <w:r w:rsidRPr="00C86443">
        <w:rPr>
          <w:rFonts w:ascii="Times New Roman" w:hAnsi="Times New Roman"/>
          <w:spacing w:val="-6"/>
          <w:w w:val="110"/>
          <w:sz w:val="24"/>
          <w:szCs w:val="24"/>
        </w:rPr>
        <w:t xml:space="preserve">Доля налоговых и неналоговых доходов в </w:t>
      </w:r>
      <w:proofErr w:type="gramStart"/>
      <w:r w:rsidRPr="00C86443">
        <w:rPr>
          <w:rFonts w:ascii="Times New Roman" w:hAnsi="Times New Roman"/>
          <w:spacing w:val="-6"/>
          <w:w w:val="110"/>
          <w:sz w:val="24"/>
          <w:szCs w:val="24"/>
        </w:rPr>
        <w:t>общем</w:t>
      </w:r>
      <w:proofErr w:type="gramEnd"/>
      <w:r w:rsidRPr="00C86443">
        <w:rPr>
          <w:rFonts w:ascii="Times New Roman" w:hAnsi="Times New Roman"/>
          <w:spacing w:val="-6"/>
          <w:w w:val="110"/>
          <w:sz w:val="24"/>
          <w:szCs w:val="24"/>
        </w:rPr>
        <w:t xml:space="preserve"> объеме доходов консолидированного бюджета муниципального района  составила 36,2 %, что на 7,1 п.п. выше уровня 2021 года.</w:t>
      </w:r>
    </w:p>
    <w:p w:rsidR="00937BFE" w:rsidRPr="00C86443" w:rsidRDefault="00937BFE" w:rsidP="0013136F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w w:val="110"/>
          <w:sz w:val="24"/>
          <w:szCs w:val="24"/>
        </w:rPr>
      </w:pPr>
      <w:r w:rsidRPr="00C86443">
        <w:rPr>
          <w:rFonts w:ascii="Times New Roman" w:hAnsi="Times New Roman"/>
          <w:spacing w:val="-6"/>
          <w:w w:val="110"/>
          <w:sz w:val="24"/>
          <w:szCs w:val="24"/>
        </w:rPr>
        <w:t xml:space="preserve">Наибольшую долю в структуре налоговых и неналоговых доходов имеет налог на доходы физических лиц – 54,6% (513,93 млн. рублей). </w:t>
      </w:r>
    </w:p>
    <w:p w:rsidR="00937BFE" w:rsidRPr="00C86443" w:rsidRDefault="00937BFE" w:rsidP="0013136F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w w:val="110"/>
          <w:sz w:val="24"/>
          <w:szCs w:val="24"/>
        </w:rPr>
      </w:pPr>
      <w:proofErr w:type="gramStart"/>
      <w:r w:rsidRPr="00C86443">
        <w:rPr>
          <w:rFonts w:ascii="Times New Roman" w:hAnsi="Times New Roman"/>
          <w:spacing w:val="-6"/>
          <w:w w:val="110"/>
          <w:sz w:val="24"/>
          <w:szCs w:val="24"/>
        </w:rPr>
        <w:t>Доходы от налогов на совокупный доход (УСН, ЕНВД, патент) – 18,6 % (174,93 млн. рублей), от использования имущества находящегося в муниципальной собственности и доходы от продажи материальных и нематериальных активов, 8,4 % (78,66 млн. рублей), от имущественных налогов (налог на имущество физических лиц, налог на имущество организаций, земельный налог с физических лиц, земельный налог с организаций) – 8,3% (78,06 млн. рублей), от реализации имущества</w:t>
      </w:r>
      <w:proofErr w:type="gramEnd"/>
      <w:r w:rsidRPr="00C86443">
        <w:rPr>
          <w:rFonts w:ascii="Times New Roman" w:hAnsi="Times New Roman"/>
          <w:spacing w:val="-6"/>
          <w:w w:val="110"/>
          <w:sz w:val="24"/>
          <w:szCs w:val="24"/>
        </w:rPr>
        <w:t xml:space="preserve"> – 4,3% (40,28 млн. рублей).</w:t>
      </w:r>
    </w:p>
    <w:p w:rsidR="00937BFE" w:rsidRPr="00C86443" w:rsidRDefault="00937BFE" w:rsidP="0013136F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w w:val="110"/>
          <w:sz w:val="24"/>
          <w:szCs w:val="24"/>
        </w:rPr>
      </w:pPr>
      <w:r w:rsidRPr="00C86443">
        <w:rPr>
          <w:rFonts w:ascii="Times New Roman" w:hAnsi="Times New Roman"/>
          <w:spacing w:val="-6"/>
          <w:w w:val="110"/>
          <w:sz w:val="24"/>
          <w:szCs w:val="24"/>
        </w:rPr>
        <w:t xml:space="preserve">В структуре налоговых и неналоговых доходов в 2024 - 2026 годах существенных изменений не ожидается. Рост поступлений планируется в </w:t>
      </w:r>
      <w:proofErr w:type="gramStart"/>
      <w:r w:rsidRPr="00C86443">
        <w:rPr>
          <w:rFonts w:ascii="Times New Roman" w:hAnsi="Times New Roman"/>
          <w:spacing w:val="-6"/>
          <w:w w:val="110"/>
          <w:sz w:val="24"/>
          <w:szCs w:val="24"/>
        </w:rPr>
        <w:t>основном</w:t>
      </w:r>
      <w:proofErr w:type="gramEnd"/>
      <w:r w:rsidRPr="00C86443">
        <w:rPr>
          <w:rFonts w:ascii="Times New Roman" w:hAnsi="Times New Roman"/>
          <w:spacing w:val="-6"/>
          <w:w w:val="110"/>
          <w:sz w:val="24"/>
          <w:szCs w:val="24"/>
        </w:rPr>
        <w:t xml:space="preserve"> по налогу на доходы физических лиц и налогу, взимаемому в связи с применением упрощенной системы налогообложения и доходам от использования имущества.</w:t>
      </w:r>
    </w:p>
    <w:p w:rsidR="00937BFE" w:rsidRPr="00C86443" w:rsidRDefault="00937BFE" w:rsidP="0013136F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w w:val="110"/>
          <w:sz w:val="24"/>
          <w:szCs w:val="24"/>
        </w:rPr>
      </w:pPr>
      <w:r w:rsidRPr="00C86443">
        <w:rPr>
          <w:rFonts w:ascii="Times New Roman" w:hAnsi="Times New Roman"/>
          <w:spacing w:val="-6"/>
          <w:w w:val="110"/>
          <w:sz w:val="24"/>
          <w:szCs w:val="24"/>
        </w:rPr>
        <w:t>Рост поступлений по налогу на доходы физических лиц ожидается в связи ростом МРОТ, с 1 января 2024 года </w:t>
      </w:r>
      <w:r w:rsidR="0013136F" w:rsidRPr="00C86443">
        <w:rPr>
          <w:rFonts w:ascii="Times New Roman" w:hAnsi="Times New Roman"/>
          <w:spacing w:val="-6"/>
          <w:w w:val="110"/>
          <w:sz w:val="24"/>
          <w:szCs w:val="24"/>
        </w:rPr>
        <w:t>составит</w:t>
      </w:r>
      <w:r w:rsidRPr="00C86443">
        <w:rPr>
          <w:rFonts w:ascii="Times New Roman" w:hAnsi="Times New Roman"/>
          <w:spacing w:val="-6"/>
          <w:w w:val="110"/>
          <w:sz w:val="24"/>
          <w:szCs w:val="24"/>
        </w:rPr>
        <w:t> 22128,30 рублей и соответственно с ростом заработной платы.</w:t>
      </w:r>
    </w:p>
    <w:p w:rsidR="00937BFE" w:rsidRPr="00C86443" w:rsidRDefault="00937BFE" w:rsidP="0013136F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w w:val="110"/>
          <w:sz w:val="24"/>
          <w:szCs w:val="24"/>
        </w:rPr>
      </w:pPr>
      <w:proofErr w:type="gramStart"/>
      <w:r w:rsidRPr="00C86443">
        <w:rPr>
          <w:rFonts w:ascii="Times New Roman" w:hAnsi="Times New Roman"/>
          <w:spacing w:val="-6"/>
          <w:w w:val="110"/>
          <w:sz w:val="24"/>
          <w:szCs w:val="24"/>
        </w:rPr>
        <w:t>Рост поступлений по налогу, взимаемому в связи с применением упрощенной системы налогообложения ожидается в связи с ростом цен и увеличением роста инфляции.</w:t>
      </w:r>
      <w:proofErr w:type="gramEnd"/>
    </w:p>
    <w:p w:rsidR="00937BFE" w:rsidRPr="00C86443" w:rsidRDefault="00937BFE" w:rsidP="0013136F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w w:val="110"/>
          <w:sz w:val="24"/>
          <w:szCs w:val="24"/>
        </w:rPr>
      </w:pPr>
      <w:r w:rsidRPr="00C86443">
        <w:rPr>
          <w:rFonts w:ascii="Times New Roman" w:hAnsi="Times New Roman"/>
          <w:spacing w:val="-6"/>
          <w:w w:val="110"/>
          <w:sz w:val="24"/>
          <w:szCs w:val="24"/>
        </w:rPr>
        <w:t>Рост поступлений по доходам от использования имущества прогнозируется в связи с наличием задолженности арендаторов и поставленной задачей по ее взысканию в бюджет района.</w:t>
      </w:r>
    </w:p>
    <w:p w:rsidR="00937BFE" w:rsidRPr="00C86443" w:rsidRDefault="00937BFE" w:rsidP="0013136F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w w:val="110"/>
          <w:sz w:val="24"/>
          <w:szCs w:val="24"/>
        </w:rPr>
      </w:pPr>
      <w:r w:rsidRPr="00C86443">
        <w:rPr>
          <w:rFonts w:ascii="Times New Roman" w:hAnsi="Times New Roman"/>
          <w:spacing w:val="-6"/>
          <w:w w:val="110"/>
          <w:sz w:val="24"/>
          <w:szCs w:val="24"/>
        </w:rPr>
        <w:t xml:space="preserve">Согласно проведенной оценке поступлений налоговых и неналоговых доходов консолидированного бюджета муниципального района Белебеевский район Республики Башкортостан в 2023 году  поступления составят 1046,5 млн. рублей с ростом к фактическому поступлению налоговых и неналоговых поступлений 2022 года на 105,17 млн. рублей или 11,2 процента. </w:t>
      </w:r>
    </w:p>
    <w:p w:rsidR="00937BFE" w:rsidRPr="00C86443" w:rsidRDefault="00937BFE" w:rsidP="0013136F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w w:val="110"/>
          <w:sz w:val="24"/>
          <w:szCs w:val="24"/>
        </w:rPr>
      </w:pPr>
      <w:proofErr w:type="gramStart"/>
      <w:r w:rsidRPr="00C86443">
        <w:rPr>
          <w:rFonts w:ascii="Times New Roman" w:hAnsi="Times New Roman"/>
          <w:spacing w:val="-6"/>
          <w:w w:val="110"/>
          <w:sz w:val="24"/>
          <w:szCs w:val="24"/>
        </w:rPr>
        <w:t xml:space="preserve">В разрезе налоговых и неналоговых доходов прогнозирование на 2024 год осуществлялось исходя из фактического поступления данных видов доходов с учетом динамики роста за предыдущие три года, с учетом </w:t>
      </w:r>
      <w:r w:rsidR="0013136F" w:rsidRPr="00C86443">
        <w:rPr>
          <w:rFonts w:ascii="Times New Roman" w:hAnsi="Times New Roman"/>
          <w:spacing w:val="-6"/>
          <w:w w:val="110"/>
          <w:sz w:val="24"/>
          <w:szCs w:val="24"/>
        </w:rPr>
        <w:t>сформированной базы</w:t>
      </w:r>
      <w:r w:rsidRPr="00C86443">
        <w:rPr>
          <w:rFonts w:ascii="Times New Roman" w:hAnsi="Times New Roman"/>
          <w:spacing w:val="-6"/>
          <w:w w:val="110"/>
          <w:sz w:val="24"/>
          <w:szCs w:val="24"/>
        </w:rPr>
        <w:t xml:space="preserve"> для исчисления данного вида дохода, а также с учетом действующих на прогнозируемый год ставок отчислений от данных видов доходов и изменений налогового и бюджетного законодательства.</w:t>
      </w:r>
      <w:proofErr w:type="gramEnd"/>
    </w:p>
    <w:p w:rsidR="00937BFE" w:rsidRPr="00C86443" w:rsidRDefault="00937BFE" w:rsidP="0013136F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w w:val="110"/>
          <w:sz w:val="24"/>
          <w:szCs w:val="24"/>
        </w:rPr>
      </w:pPr>
      <w:r w:rsidRPr="00C86443">
        <w:rPr>
          <w:rFonts w:ascii="Times New Roman" w:hAnsi="Times New Roman"/>
          <w:spacing w:val="-6"/>
          <w:w w:val="110"/>
          <w:sz w:val="24"/>
          <w:szCs w:val="24"/>
        </w:rPr>
        <w:lastRenderedPageBreak/>
        <w:t xml:space="preserve">В 2024 году поступления налоговых и неналоговых доходов составят 1 082,67 млн. рублей, рост в 2024 году в сравнении с оценкой 2023 года в сумме 36,17 млн. рублей или на 3,5 процента.  </w:t>
      </w:r>
    </w:p>
    <w:p w:rsidR="00937BFE" w:rsidRPr="00C86443" w:rsidRDefault="00937BFE" w:rsidP="0013136F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w w:val="110"/>
          <w:sz w:val="24"/>
          <w:szCs w:val="24"/>
        </w:rPr>
      </w:pPr>
      <w:r w:rsidRPr="00C86443">
        <w:rPr>
          <w:rFonts w:ascii="Times New Roman" w:hAnsi="Times New Roman"/>
          <w:spacing w:val="-6"/>
          <w:w w:val="110"/>
          <w:sz w:val="24"/>
          <w:szCs w:val="24"/>
        </w:rPr>
        <w:t xml:space="preserve">В 2025 году поступления налоговых и неналоговых доходов составят 1101,11 млн. рублей, запланирован рост в сравнении с 2024 годом в сумме 18,44 млн. рублей или на 1,7 процента. </w:t>
      </w:r>
    </w:p>
    <w:p w:rsidR="00937BFE" w:rsidRPr="00C86443" w:rsidRDefault="00937BFE" w:rsidP="0013136F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w w:val="110"/>
          <w:sz w:val="24"/>
          <w:szCs w:val="24"/>
        </w:rPr>
      </w:pPr>
      <w:r w:rsidRPr="00C86443">
        <w:rPr>
          <w:rFonts w:ascii="Times New Roman" w:hAnsi="Times New Roman"/>
          <w:spacing w:val="-6"/>
          <w:w w:val="110"/>
          <w:sz w:val="24"/>
          <w:szCs w:val="24"/>
        </w:rPr>
        <w:t>В 2026 году поступления налоговых и неналоговых доходов составят 1124,28 млн. рублей, рост поступлений налоговых и неналоговых доходов в сравнении с 2025 годом в сумме 23,17 млн. рублей или на 2,1 процента.</w:t>
      </w:r>
    </w:p>
    <w:p w:rsidR="00937BFE" w:rsidRPr="00C86443" w:rsidRDefault="00937BFE" w:rsidP="00937BFE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w w:val="110"/>
          <w:sz w:val="24"/>
          <w:szCs w:val="24"/>
        </w:rPr>
      </w:pPr>
      <w:r w:rsidRPr="00C86443">
        <w:rPr>
          <w:rFonts w:ascii="Times New Roman" w:hAnsi="Times New Roman"/>
          <w:spacing w:val="-6"/>
          <w:w w:val="110"/>
          <w:sz w:val="24"/>
          <w:szCs w:val="24"/>
        </w:rPr>
        <w:t>Оценка поступлений доходов произведена на основании фактически поступивших сумм доходов по состоянию на 1 декабря 2023 года с учетом планируемых и возможных поступлений за оставшийся период текущего года.</w:t>
      </w:r>
    </w:p>
    <w:p w:rsidR="00937BFE" w:rsidRPr="00C86443" w:rsidRDefault="00937BFE" w:rsidP="00937BFE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w w:val="110"/>
          <w:sz w:val="24"/>
          <w:szCs w:val="24"/>
        </w:rPr>
      </w:pPr>
      <w:r w:rsidRPr="00C86443">
        <w:rPr>
          <w:rFonts w:ascii="Times New Roman" w:hAnsi="Times New Roman"/>
          <w:spacing w:val="-6"/>
          <w:w w:val="110"/>
          <w:sz w:val="24"/>
          <w:szCs w:val="24"/>
        </w:rPr>
        <w:t xml:space="preserve">Общий объем доходов бюджета муниципального района Белебеевский район Республики Башкортостан определен на основе действующего законодательства с учетом ряда планируемых изменений, исходя из динамики поступления доходов, изменения налогооблагаемой базы, реальной платежеспособности налогоплательщиков. </w:t>
      </w:r>
    </w:p>
    <w:p w:rsidR="00937BFE" w:rsidRPr="00C86443" w:rsidRDefault="00937BFE" w:rsidP="00937BFE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w w:val="110"/>
          <w:sz w:val="24"/>
          <w:szCs w:val="24"/>
        </w:rPr>
      </w:pPr>
      <w:r w:rsidRPr="00C86443">
        <w:rPr>
          <w:rFonts w:ascii="Times New Roman" w:hAnsi="Times New Roman"/>
          <w:spacing w:val="-6"/>
          <w:w w:val="110"/>
          <w:sz w:val="24"/>
          <w:szCs w:val="24"/>
        </w:rPr>
        <w:t xml:space="preserve">Объем  безвозмездных поступлений в бюджет муниципального района запланирован в </w:t>
      </w:r>
      <w:proofErr w:type="gramStart"/>
      <w:r w:rsidRPr="00C86443">
        <w:rPr>
          <w:rFonts w:ascii="Times New Roman" w:hAnsi="Times New Roman"/>
          <w:spacing w:val="-6"/>
          <w:w w:val="110"/>
          <w:sz w:val="24"/>
          <w:szCs w:val="24"/>
        </w:rPr>
        <w:t>соответствии</w:t>
      </w:r>
      <w:proofErr w:type="gramEnd"/>
      <w:r w:rsidRPr="00C86443">
        <w:rPr>
          <w:rFonts w:ascii="Times New Roman" w:hAnsi="Times New Roman"/>
          <w:spacing w:val="-6"/>
          <w:w w:val="110"/>
          <w:sz w:val="24"/>
          <w:szCs w:val="24"/>
        </w:rPr>
        <w:t xml:space="preserve"> с проектом Закона Республики Башкортостан «О бюджете Республики Башкортостан на 2024 и плановый период 2025 – 2026 годов». </w:t>
      </w:r>
    </w:p>
    <w:p w:rsidR="00937BFE" w:rsidRPr="00C86443" w:rsidRDefault="00937BFE" w:rsidP="0013136F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w w:val="110"/>
          <w:sz w:val="24"/>
          <w:szCs w:val="24"/>
        </w:rPr>
      </w:pPr>
      <w:proofErr w:type="gramStart"/>
      <w:r w:rsidRPr="00C86443">
        <w:rPr>
          <w:rFonts w:ascii="Times New Roman" w:hAnsi="Times New Roman"/>
          <w:spacing w:val="-6"/>
          <w:w w:val="110"/>
          <w:sz w:val="24"/>
          <w:szCs w:val="24"/>
        </w:rPr>
        <w:t>Учитывая все вышеперечисленные факторы и дополнительные уточнения в 2024 году поступления спрогнозированы</w:t>
      </w:r>
      <w:proofErr w:type="gramEnd"/>
      <w:r w:rsidRPr="00C86443">
        <w:rPr>
          <w:rFonts w:ascii="Times New Roman" w:hAnsi="Times New Roman"/>
          <w:spacing w:val="-6"/>
          <w:w w:val="110"/>
          <w:sz w:val="24"/>
          <w:szCs w:val="24"/>
        </w:rPr>
        <w:t xml:space="preserve"> в сумме 2675,90 млн. рублей. В 2025 году планируемый объем доходов составляет 2553,24 млн. рублей, со снижением к 2024 году на 122,66 млн. рублей или 4,6 процента, в 2026 году – 2568,95 млн. рублей с ростом к 2025 году на 15,71 млн. рублей или 0,6 процента.</w:t>
      </w:r>
    </w:p>
    <w:p w:rsidR="00937BFE" w:rsidRPr="00C86443" w:rsidRDefault="00937BFE" w:rsidP="0013136F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w w:val="110"/>
          <w:sz w:val="24"/>
          <w:szCs w:val="24"/>
        </w:rPr>
      </w:pPr>
      <w:r w:rsidRPr="00C86443">
        <w:rPr>
          <w:rFonts w:ascii="Times New Roman" w:hAnsi="Times New Roman"/>
          <w:spacing w:val="-6"/>
          <w:w w:val="110"/>
          <w:sz w:val="24"/>
          <w:szCs w:val="24"/>
        </w:rPr>
        <w:t xml:space="preserve">Расходы  консолидированного бюджета муниципального района за 2022 год составили 2514,84 млн. рублей, что на 0,9 % или на 24,22 млн. рублей ниже объема произведенных расходов за 2021 год. </w:t>
      </w:r>
    </w:p>
    <w:p w:rsidR="00937BFE" w:rsidRPr="00C86443" w:rsidRDefault="00937BFE" w:rsidP="0013136F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w w:val="110"/>
          <w:sz w:val="24"/>
          <w:szCs w:val="24"/>
        </w:rPr>
      </w:pPr>
      <w:r w:rsidRPr="00C86443">
        <w:rPr>
          <w:rFonts w:ascii="Times New Roman" w:hAnsi="Times New Roman"/>
          <w:spacing w:val="-6"/>
          <w:w w:val="110"/>
          <w:sz w:val="24"/>
          <w:szCs w:val="24"/>
        </w:rPr>
        <w:t xml:space="preserve">К плановым назначениям 2022 года расходы выполнены на 97,14%. Структуру расходов бюджета района в 2022 году составляют: </w:t>
      </w:r>
    </w:p>
    <w:p w:rsidR="00937BFE" w:rsidRPr="00C86443" w:rsidRDefault="00937BFE" w:rsidP="0013136F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w w:val="110"/>
          <w:sz w:val="24"/>
          <w:szCs w:val="24"/>
        </w:rPr>
      </w:pPr>
      <w:r w:rsidRPr="00C86443">
        <w:rPr>
          <w:rFonts w:ascii="Times New Roman" w:hAnsi="Times New Roman"/>
          <w:spacing w:val="-6"/>
          <w:w w:val="110"/>
          <w:sz w:val="24"/>
          <w:szCs w:val="24"/>
        </w:rPr>
        <w:t xml:space="preserve">70,25% - расходы консолидированного бюджета муниципального района на финансирование социальной сферы района, </w:t>
      </w:r>
    </w:p>
    <w:p w:rsidR="00937BFE" w:rsidRPr="00C86443" w:rsidRDefault="00937BFE" w:rsidP="0013136F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w w:val="110"/>
          <w:sz w:val="24"/>
          <w:szCs w:val="24"/>
        </w:rPr>
      </w:pPr>
      <w:r w:rsidRPr="00C86443">
        <w:rPr>
          <w:rFonts w:ascii="Times New Roman" w:hAnsi="Times New Roman"/>
          <w:spacing w:val="-6"/>
          <w:w w:val="110"/>
          <w:sz w:val="24"/>
          <w:szCs w:val="24"/>
        </w:rPr>
        <w:t xml:space="preserve">из них: образование (56,24 %), </w:t>
      </w:r>
    </w:p>
    <w:p w:rsidR="00937BFE" w:rsidRPr="00C86443" w:rsidRDefault="00937BFE" w:rsidP="0013136F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w w:val="110"/>
          <w:sz w:val="24"/>
          <w:szCs w:val="24"/>
        </w:rPr>
      </w:pPr>
      <w:r w:rsidRPr="00C86443">
        <w:rPr>
          <w:rFonts w:ascii="Times New Roman" w:hAnsi="Times New Roman"/>
          <w:spacing w:val="-6"/>
          <w:w w:val="110"/>
          <w:sz w:val="24"/>
          <w:szCs w:val="24"/>
        </w:rPr>
        <w:t>культура (7,38 %),</w:t>
      </w:r>
    </w:p>
    <w:p w:rsidR="00937BFE" w:rsidRPr="00C86443" w:rsidRDefault="00937BFE" w:rsidP="0013136F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w w:val="110"/>
          <w:sz w:val="24"/>
          <w:szCs w:val="24"/>
        </w:rPr>
      </w:pPr>
      <w:r w:rsidRPr="00C86443">
        <w:rPr>
          <w:rFonts w:ascii="Times New Roman" w:hAnsi="Times New Roman"/>
          <w:spacing w:val="-6"/>
          <w:w w:val="110"/>
          <w:sz w:val="24"/>
          <w:szCs w:val="24"/>
        </w:rPr>
        <w:t xml:space="preserve">социальная политика (4,73 %), </w:t>
      </w:r>
    </w:p>
    <w:p w:rsidR="00937BFE" w:rsidRPr="00C86443" w:rsidRDefault="00937BFE" w:rsidP="0013136F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w w:val="110"/>
          <w:sz w:val="24"/>
          <w:szCs w:val="24"/>
        </w:rPr>
      </w:pPr>
      <w:r w:rsidRPr="00C86443">
        <w:rPr>
          <w:rFonts w:ascii="Times New Roman" w:hAnsi="Times New Roman"/>
          <w:spacing w:val="-6"/>
          <w:w w:val="110"/>
          <w:sz w:val="24"/>
          <w:szCs w:val="24"/>
        </w:rPr>
        <w:t xml:space="preserve">физическая культура и спорт (1,9 %); </w:t>
      </w:r>
    </w:p>
    <w:p w:rsidR="00937BFE" w:rsidRPr="00C86443" w:rsidRDefault="00937BFE" w:rsidP="0013136F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w w:val="110"/>
          <w:sz w:val="24"/>
          <w:szCs w:val="24"/>
        </w:rPr>
      </w:pPr>
      <w:r w:rsidRPr="00C86443">
        <w:rPr>
          <w:rFonts w:ascii="Times New Roman" w:hAnsi="Times New Roman"/>
          <w:spacing w:val="-6"/>
          <w:w w:val="110"/>
          <w:sz w:val="24"/>
          <w:szCs w:val="24"/>
        </w:rPr>
        <w:t>расходы консолидированного бюджета района на реализацию общегосударственных вопросов</w:t>
      </w:r>
      <w:r w:rsidR="00C738AD" w:rsidRPr="00C86443">
        <w:rPr>
          <w:rFonts w:ascii="Times New Roman" w:hAnsi="Times New Roman"/>
          <w:spacing w:val="-6"/>
          <w:w w:val="110"/>
          <w:sz w:val="24"/>
          <w:szCs w:val="24"/>
        </w:rPr>
        <w:t xml:space="preserve"> (10,51%)</w:t>
      </w:r>
      <w:r w:rsidRPr="00C86443">
        <w:rPr>
          <w:rFonts w:ascii="Times New Roman" w:hAnsi="Times New Roman"/>
          <w:spacing w:val="-6"/>
          <w:w w:val="110"/>
          <w:sz w:val="24"/>
          <w:szCs w:val="24"/>
        </w:rPr>
        <w:t xml:space="preserve">; </w:t>
      </w:r>
    </w:p>
    <w:p w:rsidR="00937BFE" w:rsidRPr="00C86443" w:rsidRDefault="00937BFE" w:rsidP="00C738A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w w:val="110"/>
          <w:sz w:val="24"/>
          <w:szCs w:val="24"/>
        </w:rPr>
      </w:pPr>
      <w:r w:rsidRPr="00C86443">
        <w:rPr>
          <w:rFonts w:ascii="Times New Roman" w:hAnsi="Times New Roman"/>
          <w:spacing w:val="-6"/>
          <w:w w:val="110"/>
          <w:sz w:val="24"/>
          <w:szCs w:val="24"/>
        </w:rPr>
        <w:t>расходы на финансирование отрасли «</w:t>
      </w:r>
      <w:r w:rsidR="00C738AD" w:rsidRPr="00C86443">
        <w:rPr>
          <w:rFonts w:ascii="Times New Roman" w:hAnsi="Times New Roman"/>
          <w:spacing w:val="-6"/>
          <w:w w:val="110"/>
          <w:sz w:val="24"/>
          <w:szCs w:val="24"/>
        </w:rPr>
        <w:t>Жилищно-коммунальное хозяйство»</w:t>
      </w:r>
      <w:r w:rsidRPr="00C86443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="00C738AD" w:rsidRPr="00C86443">
        <w:rPr>
          <w:rFonts w:ascii="Times New Roman" w:hAnsi="Times New Roman"/>
          <w:spacing w:val="-6"/>
          <w:w w:val="110"/>
          <w:sz w:val="24"/>
          <w:szCs w:val="24"/>
        </w:rPr>
        <w:t>(12,90 %);</w:t>
      </w:r>
    </w:p>
    <w:p w:rsidR="00937BFE" w:rsidRPr="00C86443" w:rsidRDefault="00937BFE" w:rsidP="0013136F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w w:val="110"/>
          <w:sz w:val="24"/>
          <w:szCs w:val="24"/>
        </w:rPr>
      </w:pPr>
      <w:r w:rsidRPr="00C86443">
        <w:rPr>
          <w:rFonts w:ascii="Times New Roman" w:hAnsi="Times New Roman"/>
          <w:spacing w:val="-6"/>
          <w:w w:val="110"/>
          <w:sz w:val="24"/>
          <w:szCs w:val="24"/>
        </w:rPr>
        <w:t>расходы на реализацию мероприятий в области национальной экономики</w:t>
      </w:r>
      <w:r w:rsidR="00C738AD" w:rsidRPr="00C86443">
        <w:rPr>
          <w:rFonts w:ascii="Times New Roman" w:hAnsi="Times New Roman"/>
          <w:spacing w:val="-6"/>
          <w:w w:val="110"/>
          <w:sz w:val="24"/>
          <w:szCs w:val="24"/>
        </w:rPr>
        <w:t xml:space="preserve"> (5,48%)</w:t>
      </w:r>
      <w:r w:rsidRPr="00C86443">
        <w:rPr>
          <w:rFonts w:ascii="Times New Roman" w:hAnsi="Times New Roman"/>
          <w:spacing w:val="-6"/>
          <w:w w:val="110"/>
          <w:sz w:val="24"/>
          <w:szCs w:val="24"/>
        </w:rPr>
        <w:t>;</w:t>
      </w:r>
    </w:p>
    <w:p w:rsidR="00937BFE" w:rsidRPr="00C86443" w:rsidRDefault="00937BFE" w:rsidP="0013136F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w w:val="110"/>
          <w:sz w:val="24"/>
          <w:szCs w:val="24"/>
        </w:rPr>
      </w:pPr>
      <w:r w:rsidRPr="00C86443">
        <w:rPr>
          <w:rFonts w:ascii="Times New Roman" w:hAnsi="Times New Roman"/>
          <w:spacing w:val="-6"/>
          <w:w w:val="110"/>
          <w:sz w:val="24"/>
          <w:szCs w:val="24"/>
        </w:rPr>
        <w:t>расходы на прочие отрасли</w:t>
      </w:r>
      <w:r w:rsidR="00C738AD" w:rsidRPr="00C86443">
        <w:rPr>
          <w:rFonts w:ascii="Times New Roman" w:hAnsi="Times New Roman"/>
          <w:spacing w:val="-6"/>
          <w:w w:val="110"/>
          <w:sz w:val="24"/>
          <w:szCs w:val="24"/>
        </w:rPr>
        <w:t xml:space="preserve"> (0,86%)</w:t>
      </w:r>
      <w:r w:rsidRPr="00C86443">
        <w:rPr>
          <w:rFonts w:ascii="Times New Roman" w:hAnsi="Times New Roman"/>
          <w:spacing w:val="-6"/>
          <w:w w:val="110"/>
          <w:sz w:val="24"/>
          <w:szCs w:val="24"/>
        </w:rPr>
        <w:t xml:space="preserve">. </w:t>
      </w:r>
    </w:p>
    <w:p w:rsidR="00937BFE" w:rsidRPr="00C86443" w:rsidRDefault="00937BFE" w:rsidP="0013136F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w w:val="110"/>
          <w:sz w:val="24"/>
          <w:szCs w:val="24"/>
        </w:rPr>
      </w:pPr>
      <w:r w:rsidRPr="00C86443">
        <w:rPr>
          <w:rFonts w:ascii="Times New Roman" w:hAnsi="Times New Roman"/>
          <w:spacing w:val="-6"/>
          <w:w w:val="110"/>
          <w:sz w:val="24"/>
          <w:szCs w:val="24"/>
        </w:rPr>
        <w:t xml:space="preserve">Из общих расходов в 2022 году на развитие и поддержку субъектов малого предпринимательства направлено 8,9 млн. рублей. </w:t>
      </w:r>
    </w:p>
    <w:p w:rsidR="00937BFE" w:rsidRPr="00C86443" w:rsidRDefault="00937BFE" w:rsidP="0013136F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w w:val="110"/>
          <w:sz w:val="24"/>
          <w:szCs w:val="24"/>
        </w:rPr>
      </w:pPr>
      <w:r w:rsidRPr="00C86443">
        <w:rPr>
          <w:rFonts w:ascii="Times New Roman" w:hAnsi="Times New Roman"/>
          <w:spacing w:val="-6"/>
          <w:w w:val="110"/>
          <w:sz w:val="24"/>
          <w:szCs w:val="24"/>
        </w:rPr>
        <w:t xml:space="preserve">Расходы по отрасли дорожное хозяйство за 2022 год произведены в сумме 122,2 млн. рублей и направлены на содержание автомобильных дорог общего пользования местного значения, на развитие и модернизацию улично-дорожной сети сельских поселений. </w:t>
      </w:r>
    </w:p>
    <w:p w:rsidR="00937BFE" w:rsidRPr="00C86443" w:rsidRDefault="00937BFE" w:rsidP="0013136F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w w:val="110"/>
          <w:sz w:val="24"/>
          <w:szCs w:val="24"/>
        </w:rPr>
      </w:pPr>
      <w:r w:rsidRPr="00C86443">
        <w:rPr>
          <w:rFonts w:ascii="Times New Roman" w:hAnsi="Times New Roman"/>
          <w:spacing w:val="-6"/>
          <w:w w:val="110"/>
          <w:sz w:val="24"/>
          <w:szCs w:val="24"/>
        </w:rPr>
        <w:t xml:space="preserve">Расходы по отрасли жилищно-коммунальное хозяйство исполнены в сумме 324,5 млн. рублей. Расходы направлены на реализацию муниципальной программы "Реформирование и модернизация </w:t>
      </w:r>
      <w:proofErr w:type="gramStart"/>
      <w:r w:rsidRPr="00C86443">
        <w:rPr>
          <w:rFonts w:ascii="Times New Roman" w:hAnsi="Times New Roman"/>
          <w:spacing w:val="-6"/>
          <w:w w:val="110"/>
          <w:sz w:val="24"/>
          <w:szCs w:val="24"/>
        </w:rPr>
        <w:t>жилищно-коммунального</w:t>
      </w:r>
      <w:proofErr w:type="gramEnd"/>
      <w:r w:rsidRPr="00C86443">
        <w:rPr>
          <w:rFonts w:ascii="Times New Roman" w:hAnsi="Times New Roman"/>
          <w:spacing w:val="-6"/>
          <w:w w:val="110"/>
          <w:sz w:val="24"/>
          <w:szCs w:val="24"/>
        </w:rPr>
        <w:t xml:space="preserve"> хозяйства» и на проведение мероприятий по внешнему благоустройству территорий сельских поселений района. </w:t>
      </w:r>
    </w:p>
    <w:p w:rsidR="00937BFE" w:rsidRPr="00C86443" w:rsidRDefault="00937BFE" w:rsidP="0013136F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w w:val="110"/>
          <w:sz w:val="24"/>
          <w:szCs w:val="24"/>
        </w:rPr>
      </w:pPr>
      <w:r w:rsidRPr="00C86443">
        <w:rPr>
          <w:rFonts w:ascii="Times New Roman" w:hAnsi="Times New Roman"/>
          <w:spacing w:val="-6"/>
          <w:w w:val="110"/>
          <w:sz w:val="24"/>
          <w:szCs w:val="24"/>
        </w:rPr>
        <w:t>Расходы на образование в 2022 году направлены в сумме 1414,4 млн. рублей, 100% к уровню 2021 года. Из них, расходы на дошкольное образование составили 533,1 млн. рублей, на общее образование – 756,8 млн. рублей, дополнительное образование – 65,1 млн. рублей.</w:t>
      </w:r>
    </w:p>
    <w:p w:rsidR="00937BFE" w:rsidRPr="00C86443" w:rsidRDefault="00937BFE" w:rsidP="0013136F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w w:val="110"/>
          <w:sz w:val="24"/>
          <w:szCs w:val="24"/>
        </w:rPr>
      </w:pPr>
      <w:r w:rsidRPr="00C86443">
        <w:rPr>
          <w:rFonts w:ascii="Times New Roman" w:hAnsi="Times New Roman"/>
          <w:spacing w:val="-6"/>
          <w:w w:val="110"/>
          <w:sz w:val="24"/>
          <w:szCs w:val="24"/>
        </w:rPr>
        <w:lastRenderedPageBreak/>
        <w:t xml:space="preserve">Расходы </w:t>
      </w:r>
      <w:r w:rsidR="00C738AD" w:rsidRPr="00C86443">
        <w:rPr>
          <w:rFonts w:ascii="Times New Roman" w:hAnsi="Times New Roman"/>
          <w:spacing w:val="-6"/>
          <w:w w:val="110"/>
          <w:sz w:val="24"/>
          <w:szCs w:val="24"/>
        </w:rPr>
        <w:t>в области</w:t>
      </w:r>
      <w:r w:rsidRPr="00C86443">
        <w:rPr>
          <w:rFonts w:ascii="Times New Roman" w:hAnsi="Times New Roman"/>
          <w:spacing w:val="-6"/>
          <w:w w:val="110"/>
          <w:sz w:val="24"/>
          <w:szCs w:val="24"/>
        </w:rPr>
        <w:t xml:space="preserve"> культур</w:t>
      </w:r>
      <w:r w:rsidR="00C738AD" w:rsidRPr="00C86443">
        <w:rPr>
          <w:rFonts w:ascii="Times New Roman" w:hAnsi="Times New Roman"/>
          <w:spacing w:val="-6"/>
          <w:w w:val="110"/>
          <w:sz w:val="24"/>
          <w:szCs w:val="24"/>
        </w:rPr>
        <w:t>ы</w:t>
      </w:r>
      <w:r w:rsidRPr="00C86443">
        <w:rPr>
          <w:rFonts w:ascii="Times New Roman" w:hAnsi="Times New Roman"/>
          <w:spacing w:val="-6"/>
          <w:w w:val="110"/>
          <w:sz w:val="24"/>
          <w:szCs w:val="24"/>
        </w:rPr>
        <w:t xml:space="preserve"> составили в 2022 году в сумме 185,7 млн. рублей, или 103,22% к уровню 2021года. Расходы направлены на содержание учреждений культуры. </w:t>
      </w:r>
    </w:p>
    <w:p w:rsidR="00937BFE" w:rsidRPr="00C86443" w:rsidRDefault="00937BFE" w:rsidP="0013136F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w w:val="110"/>
          <w:sz w:val="24"/>
          <w:szCs w:val="24"/>
        </w:rPr>
      </w:pPr>
      <w:r w:rsidRPr="00C86443">
        <w:rPr>
          <w:rFonts w:ascii="Times New Roman" w:hAnsi="Times New Roman"/>
          <w:spacing w:val="-6"/>
          <w:w w:val="110"/>
          <w:sz w:val="24"/>
          <w:szCs w:val="24"/>
        </w:rPr>
        <w:t xml:space="preserve">В целом по отрасли социальная политика расходы исполнены в сумме 119,4 млн. рублей, или на 31,35% больше расходов, произведенных в 2021 году. </w:t>
      </w:r>
    </w:p>
    <w:p w:rsidR="00937BFE" w:rsidRPr="00C86443" w:rsidRDefault="00937BFE" w:rsidP="0013136F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w w:val="110"/>
          <w:sz w:val="24"/>
          <w:szCs w:val="24"/>
        </w:rPr>
      </w:pPr>
      <w:proofErr w:type="gramStart"/>
      <w:r w:rsidRPr="00C86443">
        <w:rPr>
          <w:rFonts w:ascii="Times New Roman" w:hAnsi="Times New Roman"/>
          <w:spacing w:val="-6"/>
          <w:w w:val="110"/>
          <w:sz w:val="24"/>
          <w:szCs w:val="24"/>
        </w:rPr>
        <w:t>Расходы направлены на выполнение переданных государственных полномочий в области социальной защиты населения, на приобретение жилья для трех детей сирот и детей, оставшихся без попечения родителей, а также на компенсацию части родительской платы за содержание детей в муниципальных дошкольных учреждениях.</w:t>
      </w:r>
      <w:proofErr w:type="gramEnd"/>
    </w:p>
    <w:p w:rsidR="00937BFE" w:rsidRPr="00C86443" w:rsidRDefault="00937BFE" w:rsidP="0013136F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w w:val="110"/>
          <w:sz w:val="24"/>
          <w:szCs w:val="24"/>
        </w:rPr>
      </w:pPr>
      <w:r w:rsidRPr="00C86443">
        <w:rPr>
          <w:rFonts w:ascii="Times New Roman" w:hAnsi="Times New Roman"/>
          <w:spacing w:val="-6"/>
          <w:w w:val="110"/>
          <w:sz w:val="24"/>
          <w:szCs w:val="24"/>
        </w:rPr>
        <w:t>Расходы консолидированного бюджета на физическую культуру и спорт исполнены в сумме 48,9 млн. рублей, или 112,9% к уровню 2021 года.</w:t>
      </w:r>
    </w:p>
    <w:p w:rsidR="00937BFE" w:rsidRPr="00C86443" w:rsidRDefault="00937BFE" w:rsidP="0013136F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w w:val="110"/>
          <w:sz w:val="24"/>
          <w:szCs w:val="24"/>
        </w:rPr>
      </w:pPr>
      <w:r w:rsidRPr="00C86443">
        <w:rPr>
          <w:rFonts w:ascii="Times New Roman" w:hAnsi="Times New Roman"/>
          <w:spacing w:val="-6"/>
          <w:w w:val="110"/>
          <w:sz w:val="24"/>
          <w:szCs w:val="24"/>
        </w:rPr>
        <w:t>Оценка расходов консолидированного бюджета на 2023 год составит 2898,30 млн. рублей. Дефицит бюджета в 2023</w:t>
      </w:r>
      <w:r w:rsidR="00C738AD" w:rsidRPr="00C86443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C86443">
        <w:rPr>
          <w:rFonts w:ascii="Times New Roman" w:hAnsi="Times New Roman"/>
          <w:spacing w:val="-6"/>
          <w:w w:val="110"/>
          <w:sz w:val="24"/>
          <w:szCs w:val="24"/>
        </w:rPr>
        <w:t xml:space="preserve">году оценивается в размере 200,05 млн. рублей, источниками покрытия является остатки средств, сложившиеся на единых счетах бюджетов по состоянию на 01.01.2023 года. </w:t>
      </w:r>
    </w:p>
    <w:p w:rsidR="00937BFE" w:rsidRPr="00C86443" w:rsidRDefault="00937BFE" w:rsidP="0013136F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w w:val="110"/>
          <w:sz w:val="24"/>
          <w:szCs w:val="24"/>
        </w:rPr>
      </w:pPr>
      <w:r w:rsidRPr="00C86443">
        <w:rPr>
          <w:rFonts w:ascii="Times New Roman" w:hAnsi="Times New Roman"/>
          <w:spacing w:val="-6"/>
          <w:w w:val="110"/>
          <w:sz w:val="24"/>
          <w:szCs w:val="24"/>
        </w:rPr>
        <w:t xml:space="preserve">Расходы консолидированного бюджета на период 2024-2026 годы также не предполагают значительных изменений по структуре и составу расходов. При планировании расходов бюджета учтен ежегодный рост уровня потребительских цен. Консолидированный бюджет </w:t>
      </w:r>
      <w:proofErr w:type="gramStart"/>
      <w:r w:rsidRPr="00C86443">
        <w:rPr>
          <w:rFonts w:ascii="Times New Roman" w:hAnsi="Times New Roman"/>
          <w:spacing w:val="-6"/>
          <w:w w:val="110"/>
          <w:sz w:val="24"/>
          <w:szCs w:val="24"/>
        </w:rPr>
        <w:t>муниципального</w:t>
      </w:r>
      <w:proofErr w:type="gramEnd"/>
      <w:r w:rsidRPr="00C86443">
        <w:rPr>
          <w:rFonts w:ascii="Times New Roman" w:hAnsi="Times New Roman"/>
          <w:spacing w:val="-6"/>
          <w:w w:val="110"/>
          <w:sz w:val="24"/>
          <w:szCs w:val="24"/>
        </w:rPr>
        <w:t xml:space="preserve"> района на период 2024-2026 годов сбалансирован. </w:t>
      </w:r>
    </w:p>
    <w:p w:rsidR="00C738AD" w:rsidRPr="00C86443" w:rsidRDefault="00C738AD" w:rsidP="00C738AD">
      <w:pPr>
        <w:pStyle w:val="2"/>
        <w:spacing w:after="0" w:line="240" w:lineRule="auto"/>
        <w:ind w:left="0" w:right="-143" w:firstLine="708"/>
        <w:jc w:val="both"/>
      </w:pPr>
      <w:proofErr w:type="gramStart"/>
      <w:r w:rsidRPr="00C86443">
        <w:t>Причиной отклонения прогноза по состоянию на 1 декабря 2023 года от прогнозных данных по предварительным итогам социально-экономического развития района на 1 июня 2023 года объясняется тем, что прогнозирование осуществлено по сложившимся фактическим данным по состоянию на 1 декабря 2023 года (увеличение МРОТ, рост цен, рост инфляции).</w:t>
      </w:r>
      <w:proofErr w:type="gramEnd"/>
    </w:p>
    <w:p w:rsidR="00C738AD" w:rsidRPr="00C86443" w:rsidRDefault="00C738AD" w:rsidP="0013136F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w w:val="110"/>
          <w:sz w:val="24"/>
          <w:szCs w:val="24"/>
        </w:rPr>
      </w:pPr>
    </w:p>
    <w:p w:rsidR="007428EA" w:rsidRPr="00C86443" w:rsidRDefault="00315CE3" w:rsidP="00545875">
      <w:pPr>
        <w:pStyle w:val="a4"/>
        <w:spacing w:before="120" w:after="120"/>
        <w:ind w:firstLine="709"/>
        <w:jc w:val="center"/>
        <w:rPr>
          <w:sz w:val="24"/>
        </w:rPr>
      </w:pPr>
      <w:r w:rsidRPr="00C86443">
        <w:rPr>
          <w:sz w:val="24"/>
        </w:rPr>
        <w:t>Предпринимательство</w:t>
      </w:r>
    </w:p>
    <w:p w:rsidR="00EB075C" w:rsidRPr="00C86443" w:rsidRDefault="00EB075C" w:rsidP="0054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Развитие и поддержка предпринимательства на территории муниципального района Белебеевский район </w:t>
      </w:r>
      <w:r w:rsidR="00EF7212" w:rsidRPr="00C86443">
        <w:rPr>
          <w:rFonts w:ascii="Times New Roman" w:eastAsia="Times New Roman" w:hAnsi="Times New Roman" w:cs="Times New Roman"/>
          <w:sz w:val="24"/>
          <w:szCs w:val="24"/>
        </w:rPr>
        <w:t>РБ осуществляется</w:t>
      </w:r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r w:rsidR="00EF7212" w:rsidRPr="00C86443">
        <w:rPr>
          <w:rFonts w:ascii="Times New Roman" w:eastAsia="Times New Roman" w:hAnsi="Times New Roman" w:cs="Times New Roman"/>
          <w:sz w:val="24"/>
          <w:szCs w:val="24"/>
        </w:rPr>
        <w:t>муниципальной программой</w:t>
      </w:r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 «Развитие и поддержка малого и среднего предпринимательства в муниципальном районе Белебеевский район Республики Башкортостан на 2021-2026 годы».</w:t>
      </w:r>
    </w:p>
    <w:p w:rsidR="00EB075C" w:rsidRPr="00C86443" w:rsidRDefault="00EB075C" w:rsidP="0054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1 января 2023 года зарегистрировано 1994 субъекта малого и среднего предпринимательства (по </w:t>
      </w:r>
      <w:r w:rsidR="00557EBA" w:rsidRPr="00C86443">
        <w:rPr>
          <w:rFonts w:ascii="Times New Roman" w:eastAsia="Times New Roman" w:hAnsi="Times New Roman" w:cs="Times New Roman"/>
          <w:sz w:val="24"/>
          <w:szCs w:val="24"/>
        </w:rPr>
        <w:t>данным</w:t>
      </w:r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 Единого реестра субъектов малого и среднего предпринимательства федеральной налоговой службы), из которых: 54 малых предприятий, 421 </w:t>
      </w:r>
      <w:proofErr w:type="spellStart"/>
      <w:r w:rsidRPr="00C86443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, 6 средних </w:t>
      </w:r>
      <w:r w:rsidR="006541AB" w:rsidRPr="00C86443">
        <w:rPr>
          <w:rFonts w:ascii="Times New Roman" w:eastAsia="Times New Roman" w:hAnsi="Times New Roman" w:cs="Times New Roman"/>
          <w:sz w:val="24"/>
          <w:szCs w:val="24"/>
        </w:rPr>
        <w:t>предприятия, 1513</w:t>
      </w:r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индивидуальных предпринимателей.</w:t>
      </w:r>
    </w:p>
    <w:p w:rsidR="006541AB" w:rsidRPr="00C86443" w:rsidRDefault="00103956" w:rsidP="00F73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Ранее в </w:t>
      </w:r>
      <w:r w:rsidRPr="00C86443">
        <w:rPr>
          <w:rFonts w:ascii="Times New Roman" w:eastAsia="Times New Roman" w:hAnsi="Times New Roman"/>
          <w:sz w:val="24"/>
          <w:szCs w:val="24"/>
        </w:rPr>
        <w:t xml:space="preserve">прогнозе социально-экономического развития муниципального района </w:t>
      </w:r>
      <w:r w:rsidRPr="00C86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подготовленного в июне 2023 года с учетом предварительных итогов социально-экономического развития муниципального района за январь-май 2023 года, количество субъектов малого и среднего предпринимательства ожидалось на уровне </w:t>
      </w:r>
      <w:r w:rsidR="00F73F8B" w:rsidRPr="00C86443">
        <w:rPr>
          <w:rFonts w:ascii="Times New Roman" w:hAnsi="Times New Roman" w:cs="Times New Roman"/>
          <w:sz w:val="24"/>
          <w:szCs w:val="24"/>
          <w:shd w:val="clear" w:color="auto" w:fill="FFFFFF"/>
        </w:rPr>
        <w:t>2070 единиц.</w:t>
      </w:r>
      <w:proofErr w:type="gramEnd"/>
      <w:r w:rsidR="00F73F8B" w:rsidRPr="00C86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73F8B" w:rsidRPr="00C86443">
        <w:rPr>
          <w:rFonts w:ascii="Times New Roman" w:eastAsia="Times New Roman" w:hAnsi="Times New Roman" w:cs="Times New Roman"/>
          <w:sz w:val="24"/>
          <w:szCs w:val="24"/>
        </w:rPr>
        <w:t xml:space="preserve">В связи с проведенной корректировкой прогнозных данных показателя количества субъектов малого и среднего предпринимательства, на 01 ноября количество субъектов МСП составило 2068 единиц. Исходя из актуальных данных, в 2023 году </w:t>
      </w:r>
      <w:proofErr w:type="gramStart"/>
      <w:r w:rsidR="00F73F8B" w:rsidRPr="00C86443">
        <w:rPr>
          <w:rFonts w:ascii="Times New Roman" w:eastAsia="Times New Roman" w:hAnsi="Times New Roman" w:cs="Times New Roman"/>
          <w:sz w:val="24"/>
          <w:szCs w:val="24"/>
        </w:rPr>
        <w:t xml:space="preserve">прогнозируется увеличение </w:t>
      </w:r>
      <w:r w:rsidR="006541AB" w:rsidRPr="00C86443">
        <w:rPr>
          <w:rFonts w:ascii="Times New Roman" w:eastAsia="Times New Roman" w:hAnsi="Times New Roman" w:cs="Times New Roman"/>
          <w:sz w:val="24"/>
          <w:szCs w:val="24"/>
        </w:rPr>
        <w:t>количеств</w:t>
      </w:r>
      <w:r w:rsidR="00F73F8B" w:rsidRPr="00C8644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541AB" w:rsidRPr="00C86443">
        <w:rPr>
          <w:rFonts w:ascii="Times New Roman" w:eastAsia="Times New Roman" w:hAnsi="Times New Roman" w:cs="Times New Roman"/>
          <w:sz w:val="24"/>
          <w:szCs w:val="24"/>
        </w:rPr>
        <w:t xml:space="preserve"> зарегистрированных СМСП</w:t>
      </w:r>
      <w:r w:rsidR="00EF7212" w:rsidRPr="00C86443">
        <w:rPr>
          <w:rFonts w:ascii="Times New Roman" w:eastAsia="Times New Roman" w:hAnsi="Times New Roman" w:cs="Times New Roman"/>
          <w:sz w:val="24"/>
          <w:szCs w:val="24"/>
        </w:rPr>
        <w:t xml:space="preserve"> увеличится</w:t>
      </w:r>
      <w:proofErr w:type="gramEnd"/>
      <w:r w:rsidR="00EF7212" w:rsidRPr="00C86443">
        <w:rPr>
          <w:rFonts w:ascii="Times New Roman" w:eastAsia="Times New Roman" w:hAnsi="Times New Roman" w:cs="Times New Roman"/>
          <w:sz w:val="24"/>
          <w:szCs w:val="24"/>
        </w:rPr>
        <w:t xml:space="preserve"> на 96 единиц</w:t>
      </w:r>
      <w:r w:rsidR="00F73F8B" w:rsidRPr="00C86443">
        <w:rPr>
          <w:rFonts w:ascii="Times New Roman" w:eastAsia="Times New Roman" w:hAnsi="Times New Roman" w:cs="Times New Roman"/>
          <w:sz w:val="24"/>
          <w:szCs w:val="24"/>
        </w:rPr>
        <w:t>, что составит</w:t>
      </w:r>
      <w:r w:rsidR="006541AB" w:rsidRPr="00C86443">
        <w:rPr>
          <w:rFonts w:ascii="Times New Roman" w:eastAsia="Times New Roman" w:hAnsi="Times New Roman" w:cs="Times New Roman"/>
          <w:sz w:val="24"/>
          <w:szCs w:val="24"/>
        </w:rPr>
        <w:t xml:space="preserve"> 2090 единиц, из них: малых предприятий – 54 единицы, </w:t>
      </w:r>
      <w:proofErr w:type="spellStart"/>
      <w:r w:rsidR="006541AB" w:rsidRPr="00C86443">
        <w:rPr>
          <w:rFonts w:ascii="Times New Roman" w:eastAsia="Times New Roman" w:hAnsi="Times New Roman" w:cs="Times New Roman"/>
          <w:sz w:val="24"/>
          <w:szCs w:val="24"/>
        </w:rPr>
        <w:t>микропредприятий</w:t>
      </w:r>
      <w:proofErr w:type="spellEnd"/>
      <w:r w:rsidR="006541AB" w:rsidRPr="00C86443">
        <w:rPr>
          <w:rFonts w:ascii="Times New Roman" w:eastAsia="Times New Roman" w:hAnsi="Times New Roman" w:cs="Times New Roman"/>
          <w:sz w:val="24"/>
          <w:szCs w:val="24"/>
        </w:rPr>
        <w:t xml:space="preserve"> – 419 единиц, средних – 6 единиц, индивидуальных предпринимателей – 1611 единиц.</w:t>
      </w:r>
      <w:r w:rsidR="00F73F8B" w:rsidRPr="00C864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3F8B" w:rsidRPr="00C86443" w:rsidRDefault="00F73F8B" w:rsidP="00F73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443">
        <w:rPr>
          <w:rFonts w:ascii="Times New Roman" w:eastAsia="Times New Roman" w:hAnsi="Times New Roman" w:cs="Times New Roman"/>
          <w:sz w:val="24"/>
          <w:szCs w:val="24"/>
        </w:rPr>
        <w:t>В 2024 - 2026 году по консервативному варианту намечено увеличение количества субъектов МСП – 2097 и 2120 единиц соответственно (ранее в прогнозе было запланировано в 2024 году – 2082, 2026 году -2112).</w:t>
      </w:r>
    </w:p>
    <w:p w:rsidR="006541AB" w:rsidRPr="00C86443" w:rsidRDefault="006541AB" w:rsidP="00F73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Прогнозом предусмотрено увеличение малых предприятий к 2026 году до 60 единиц по </w:t>
      </w:r>
      <w:r w:rsidR="00E75442" w:rsidRPr="00C86443">
        <w:rPr>
          <w:rFonts w:ascii="Times New Roman" w:eastAsia="Times New Roman" w:hAnsi="Times New Roman" w:cs="Times New Roman"/>
          <w:sz w:val="24"/>
          <w:szCs w:val="24"/>
        </w:rPr>
        <w:t>базовому в</w:t>
      </w:r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арианту. Основную роль в </w:t>
      </w:r>
      <w:proofErr w:type="gramStart"/>
      <w:r w:rsidRPr="00C86443">
        <w:rPr>
          <w:rFonts w:ascii="Times New Roman" w:eastAsia="Times New Roman" w:hAnsi="Times New Roman" w:cs="Times New Roman"/>
          <w:sz w:val="24"/>
          <w:szCs w:val="24"/>
        </w:rPr>
        <w:t>этом</w:t>
      </w:r>
      <w:proofErr w:type="gramEnd"/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 сыграют предприятия – резиденты ТОСЭР.</w:t>
      </w:r>
    </w:p>
    <w:p w:rsidR="006541AB" w:rsidRPr="00C86443" w:rsidRDefault="006541AB" w:rsidP="00654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Количество </w:t>
      </w:r>
      <w:proofErr w:type="spellStart"/>
      <w:r w:rsidRPr="00C86443">
        <w:rPr>
          <w:rFonts w:ascii="Times New Roman" w:eastAsia="Times New Roman" w:hAnsi="Times New Roman" w:cs="Times New Roman"/>
          <w:sz w:val="24"/>
          <w:szCs w:val="24"/>
        </w:rPr>
        <w:t>микропредприятий</w:t>
      </w:r>
      <w:proofErr w:type="spellEnd"/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 к 2026 году достигнет 438 единиц по </w:t>
      </w:r>
      <w:r w:rsidR="00F73F8B" w:rsidRPr="00C86443">
        <w:rPr>
          <w:rFonts w:ascii="Times New Roman" w:eastAsia="Times New Roman" w:hAnsi="Times New Roman" w:cs="Times New Roman"/>
          <w:sz w:val="24"/>
          <w:szCs w:val="24"/>
        </w:rPr>
        <w:t>консервативному</w:t>
      </w:r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 варианту, 447 единиц по </w:t>
      </w:r>
      <w:r w:rsidR="00E75442" w:rsidRPr="00C86443">
        <w:rPr>
          <w:rFonts w:ascii="Times New Roman" w:eastAsia="Times New Roman" w:hAnsi="Times New Roman" w:cs="Times New Roman"/>
          <w:sz w:val="24"/>
          <w:szCs w:val="24"/>
        </w:rPr>
        <w:t xml:space="preserve">базовому </w:t>
      </w:r>
      <w:r w:rsidRPr="00C86443">
        <w:rPr>
          <w:rFonts w:ascii="Times New Roman" w:eastAsia="Times New Roman" w:hAnsi="Times New Roman" w:cs="Times New Roman"/>
          <w:sz w:val="24"/>
          <w:szCs w:val="24"/>
        </w:rPr>
        <w:t>варианту.</w:t>
      </w:r>
    </w:p>
    <w:p w:rsidR="006541AB" w:rsidRPr="00C86443" w:rsidRDefault="006541AB" w:rsidP="00654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443">
        <w:rPr>
          <w:rFonts w:ascii="Times New Roman" w:eastAsia="Times New Roman" w:hAnsi="Times New Roman" w:cs="Times New Roman"/>
          <w:sz w:val="24"/>
          <w:szCs w:val="24"/>
        </w:rPr>
        <w:t>Количество средних предприятий останется на уровне 6 единиц.</w:t>
      </w:r>
    </w:p>
    <w:p w:rsidR="006541AB" w:rsidRPr="00C86443" w:rsidRDefault="006541AB" w:rsidP="00654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Количество индивидуальных предпринимателей к 2026 году по </w:t>
      </w:r>
      <w:r w:rsidR="00E75442" w:rsidRPr="00C86443">
        <w:rPr>
          <w:rFonts w:ascii="Times New Roman" w:eastAsia="Times New Roman" w:hAnsi="Times New Roman" w:cs="Times New Roman"/>
          <w:sz w:val="24"/>
          <w:szCs w:val="24"/>
        </w:rPr>
        <w:t xml:space="preserve">консервативному </w:t>
      </w:r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варианту составит 1622 единицы, по </w:t>
      </w:r>
      <w:r w:rsidR="00E75442" w:rsidRPr="00C86443">
        <w:rPr>
          <w:rFonts w:ascii="Times New Roman" w:eastAsia="Times New Roman" w:hAnsi="Times New Roman" w:cs="Times New Roman"/>
          <w:sz w:val="24"/>
          <w:szCs w:val="24"/>
        </w:rPr>
        <w:t>базовому</w:t>
      </w:r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 варианту достигнет 1780 единиц.</w:t>
      </w:r>
    </w:p>
    <w:p w:rsidR="006541AB" w:rsidRPr="00C86443" w:rsidRDefault="006541AB" w:rsidP="00654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4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Количество </w:t>
      </w:r>
      <w:proofErr w:type="spellStart"/>
      <w:r w:rsidRPr="00C86443">
        <w:rPr>
          <w:rFonts w:ascii="Times New Roman" w:eastAsia="Times New Roman" w:hAnsi="Times New Roman" w:cs="Times New Roman"/>
          <w:sz w:val="24"/>
          <w:szCs w:val="24"/>
        </w:rPr>
        <w:t>самозанятых</w:t>
      </w:r>
      <w:proofErr w:type="spellEnd"/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 по итогам 2023 года составит 3894 единицы, к 2026 году по первому варианту достигнет 3950 единиц, по второму варианту – 4850 единиц.</w:t>
      </w:r>
    </w:p>
    <w:p w:rsidR="006541AB" w:rsidRPr="00C86443" w:rsidRDefault="006541AB" w:rsidP="00654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По итогам 2022 года численность занятых в </w:t>
      </w:r>
      <w:proofErr w:type="gramStart"/>
      <w:r w:rsidRPr="00C86443">
        <w:rPr>
          <w:rFonts w:ascii="Times New Roman" w:eastAsia="Times New Roman" w:hAnsi="Times New Roman" w:cs="Times New Roman"/>
          <w:sz w:val="24"/>
          <w:szCs w:val="24"/>
        </w:rPr>
        <w:t>малом</w:t>
      </w:r>
      <w:proofErr w:type="gramEnd"/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 и среднем предпринимательстве увеличилась относительно 2021 года на 282 человека и составила 15998 человек. Данное увеличение обусловлено сокращением рабочих мест на крупных предприятиях, расширением системы </w:t>
      </w:r>
      <w:proofErr w:type="spellStart"/>
      <w:r w:rsidRPr="00C86443">
        <w:rPr>
          <w:rFonts w:ascii="Times New Roman" w:eastAsia="Times New Roman" w:hAnsi="Times New Roman" w:cs="Times New Roman"/>
          <w:sz w:val="24"/>
          <w:szCs w:val="24"/>
        </w:rPr>
        <w:t>аутсорсинга</w:t>
      </w:r>
      <w:proofErr w:type="spellEnd"/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, а также увеличение рабочих мест в уже существующих субъектах малого предпринимательства. В малых предприятиях занято 2405 человек, в </w:t>
      </w:r>
      <w:proofErr w:type="spellStart"/>
      <w:r w:rsidRPr="00C86443">
        <w:rPr>
          <w:rFonts w:ascii="Times New Roman" w:eastAsia="Times New Roman" w:hAnsi="Times New Roman" w:cs="Times New Roman"/>
          <w:sz w:val="24"/>
          <w:szCs w:val="24"/>
        </w:rPr>
        <w:t>микропредприятиях</w:t>
      </w:r>
      <w:proofErr w:type="spellEnd"/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 – 2895 человек, в средних предприятиях – 905 человек, у индивидуальных предпринимателей – 9793 человек.  Численность </w:t>
      </w:r>
      <w:proofErr w:type="gramStart"/>
      <w:r w:rsidRPr="00C86443">
        <w:rPr>
          <w:rFonts w:ascii="Times New Roman" w:eastAsia="Times New Roman" w:hAnsi="Times New Roman" w:cs="Times New Roman"/>
          <w:sz w:val="24"/>
          <w:szCs w:val="24"/>
        </w:rPr>
        <w:t>занятых</w:t>
      </w:r>
      <w:proofErr w:type="gramEnd"/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 в малом и среднем предпринимательстве по оценке 2023 года составит 16063 человека. Прогнозом к 2026 году предусмотрено увеличение численности до 16128 человек по первому варианту и увеличение численности до 16354 человека по второму варианту.</w:t>
      </w:r>
    </w:p>
    <w:p w:rsidR="006541AB" w:rsidRPr="00C86443" w:rsidRDefault="006541AB" w:rsidP="00654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Оборот субъектов малого и среднего предпринимательства в 2022 году составил 15399,02 </w:t>
      </w:r>
      <w:r w:rsidR="00557EBA" w:rsidRPr="00C86443">
        <w:rPr>
          <w:rFonts w:ascii="Times New Roman" w:eastAsia="Times New Roman" w:hAnsi="Times New Roman" w:cs="Times New Roman"/>
          <w:sz w:val="24"/>
          <w:szCs w:val="24"/>
        </w:rPr>
        <w:t>млн. рублей</w:t>
      </w:r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, 103,0 % к предыдущему году. Прогнозом предусмотрено увеличение объемов оборота, которое будет достигнуто как за счет создания новых субъектов предпринимательства, так и за счет увеличения объемов производства в существующих </w:t>
      </w:r>
      <w:proofErr w:type="gramStart"/>
      <w:r w:rsidRPr="00C86443">
        <w:rPr>
          <w:rFonts w:ascii="Times New Roman" w:eastAsia="Times New Roman" w:hAnsi="Times New Roman" w:cs="Times New Roman"/>
          <w:sz w:val="24"/>
          <w:szCs w:val="24"/>
        </w:rPr>
        <w:t>субъектах</w:t>
      </w:r>
      <w:proofErr w:type="gramEnd"/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. Оборот субъектов малого и среднего </w:t>
      </w:r>
      <w:r w:rsidR="00411E6E" w:rsidRPr="00C86443">
        <w:rPr>
          <w:rFonts w:ascii="Times New Roman" w:eastAsia="Times New Roman" w:hAnsi="Times New Roman" w:cs="Times New Roman"/>
          <w:sz w:val="24"/>
          <w:szCs w:val="24"/>
        </w:rPr>
        <w:t>предпринимательства в</w:t>
      </w:r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 2023 году по прогнозу составит 15876,</w:t>
      </w:r>
      <w:r w:rsidR="00411E6E" w:rsidRPr="00C86443">
        <w:rPr>
          <w:rFonts w:ascii="Times New Roman" w:eastAsia="Times New Roman" w:hAnsi="Times New Roman" w:cs="Times New Roman"/>
          <w:sz w:val="24"/>
          <w:szCs w:val="24"/>
        </w:rPr>
        <w:t>38 млн.</w:t>
      </w:r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1E6E" w:rsidRPr="00C86443">
        <w:rPr>
          <w:rFonts w:ascii="Times New Roman" w:eastAsia="Times New Roman" w:hAnsi="Times New Roman" w:cs="Times New Roman"/>
          <w:sz w:val="24"/>
          <w:szCs w:val="24"/>
        </w:rPr>
        <w:t>рублей, 103</w:t>
      </w:r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,1 % в сопоставимых ценах к 2022 году. Дальнейший темп роста к 2026 </w:t>
      </w:r>
      <w:r w:rsidR="00411E6E" w:rsidRPr="00C86443">
        <w:rPr>
          <w:rFonts w:ascii="Times New Roman" w:eastAsia="Times New Roman" w:hAnsi="Times New Roman" w:cs="Times New Roman"/>
          <w:sz w:val="24"/>
          <w:szCs w:val="24"/>
        </w:rPr>
        <w:t>году в</w:t>
      </w:r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 сопоставимых ценах составит ежегодно по первому варианту 100,15 – 101,3 </w:t>
      </w:r>
      <w:r w:rsidR="00411E6E" w:rsidRPr="00C86443">
        <w:rPr>
          <w:rFonts w:ascii="Times New Roman" w:eastAsia="Times New Roman" w:hAnsi="Times New Roman" w:cs="Times New Roman"/>
          <w:sz w:val="24"/>
          <w:szCs w:val="24"/>
        </w:rPr>
        <w:t>%, по</w:t>
      </w:r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 второму варианту 103,3 – 103,8 %.</w:t>
      </w:r>
    </w:p>
    <w:p w:rsidR="00EB075C" w:rsidRPr="00C86443" w:rsidRDefault="00EB075C" w:rsidP="0054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В целях оказания финансовой поддержки, в рамках указанной муниципальной программы ежегодно предоставляются субсидии предпринимателям на развитие бизнеса. В 2022 году оказана финансовая поддержка за счет средств бюджетов МР и РБ в виде субсидий 7 предпринимателям на общую сумму 2494,315 </w:t>
      </w:r>
      <w:r w:rsidR="00557EBA" w:rsidRPr="00C86443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, из них: за счет местного бюджета 1500 </w:t>
      </w:r>
      <w:r w:rsidR="00557EBA" w:rsidRPr="00C86443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, за счет бюджета РБ 994,315 </w:t>
      </w:r>
      <w:r w:rsidR="00557EBA" w:rsidRPr="00C86443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86443">
        <w:rPr>
          <w:rFonts w:ascii="Times New Roman" w:eastAsia="Times New Roman" w:hAnsi="Times New Roman" w:cs="Times New Roman"/>
          <w:sz w:val="24"/>
          <w:szCs w:val="24"/>
        </w:rPr>
        <w:t>Поддержка предоставлена по таким направлениям, как возмещение части затрат на уплату лизинговых платежей, возмещение части затрат на подключение к инженерной инфраструктуре, возмещение части затрат на приобретение оборудования.</w:t>
      </w:r>
      <w:proofErr w:type="gramEnd"/>
    </w:p>
    <w:p w:rsidR="006541AB" w:rsidRPr="00C86443" w:rsidRDefault="00EB075C" w:rsidP="00654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Продолжает свою работу Фонд развития и поддержки малого и среднего предпринимательства муниципального района Белебеевский район РБ. В 2022 году предоставлены займы 26 предпринимателям на общую </w:t>
      </w:r>
      <w:r w:rsidR="006541AB" w:rsidRPr="00C86443">
        <w:rPr>
          <w:rFonts w:ascii="Times New Roman" w:eastAsia="Times New Roman" w:hAnsi="Times New Roman" w:cs="Times New Roman"/>
          <w:sz w:val="24"/>
          <w:szCs w:val="24"/>
        </w:rPr>
        <w:t>сумму 18787</w:t>
      </w:r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,7 </w:t>
      </w:r>
      <w:r w:rsidR="00557EBA" w:rsidRPr="00C86443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 w:rsidRPr="00C864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075C" w:rsidRPr="00C86443" w:rsidRDefault="00EB075C" w:rsidP="0054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В целях привлечения безработных и малоимущих граждан в </w:t>
      </w:r>
      <w:r w:rsidR="006541AB" w:rsidRPr="00C86443">
        <w:rPr>
          <w:rFonts w:ascii="Times New Roman" w:eastAsia="Times New Roman" w:hAnsi="Times New Roman" w:cs="Times New Roman"/>
          <w:sz w:val="24"/>
          <w:szCs w:val="24"/>
        </w:rPr>
        <w:t>предпринимательство вот</w:t>
      </w:r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 уже несколько лет реализуется программа Адресной социальной помощи на основании социального контракта. В 2022 году в рамках данной программы 15 малоимущих и 1 безработный гражданин получили финансовую поддержку на открытие собственного дела на общую сумму 3884,502 </w:t>
      </w:r>
      <w:r w:rsidR="00557EBA" w:rsidRPr="00C86443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 w:rsidRPr="00C864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075C" w:rsidRPr="00C86443" w:rsidRDefault="00EB075C" w:rsidP="0054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443">
        <w:rPr>
          <w:rFonts w:ascii="Times New Roman" w:eastAsia="Times New Roman" w:hAnsi="Times New Roman" w:cs="Times New Roman"/>
          <w:sz w:val="24"/>
          <w:szCs w:val="24"/>
        </w:rPr>
        <w:t>В целях взаимодействия с предпринимательским сообществом и оказания всесторонней поддержки предпринимателям в реализации их инвестиционных проектов, на регулярной основе еженедельно проводятся «предпринимательские часы» с участием Главы Администрации МР Белебеевский район РБ. В 2022 году проведено 50  «</w:t>
      </w:r>
      <w:r w:rsidR="006541AB" w:rsidRPr="00C8644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редпринимательских часов», на которых рассмотрено 72 проекта. </w:t>
      </w:r>
      <w:r w:rsidR="006541AB" w:rsidRPr="00C86443">
        <w:rPr>
          <w:rFonts w:ascii="Times New Roman" w:eastAsia="Times New Roman" w:hAnsi="Times New Roman" w:cs="Times New Roman"/>
          <w:sz w:val="24"/>
          <w:szCs w:val="24"/>
        </w:rPr>
        <w:t xml:space="preserve">За текущий период 2023 года проведено 48 «Предпринимательских часов», </w:t>
      </w:r>
    </w:p>
    <w:p w:rsidR="00EB075C" w:rsidRPr="00C86443" w:rsidRDefault="00EB075C" w:rsidP="0054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443">
        <w:rPr>
          <w:rFonts w:ascii="Times New Roman" w:eastAsia="Times New Roman" w:hAnsi="Times New Roman" w:cs="Times New Roman"/>
          <w:sz w:val="24"/>
          <w:szCs w:val="24"/>
        </w:rPr>
        <w:t>В целях оказания поддержки местным предпринимателям – сельхозпроизводителям, обеспечения им доступа на рынок на территории муниципалитета работают 2 сельскохозяйственных рынка, на которых организовано более 412 торговых мест, из них  не менее 60 % мест от общего числа предназначаются сельхозпроизводителям для реализации продукции собственного производства.</w:t>
      </w:r>
    </w:p>
    <w:p w:rsidR="00EB075C" w:rsidRPr="00C86443" w:rsidRDefault="00EB075C" w:rsidP="0054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Кроме того, на территории муниципального района определены и функционируют 2 площадки в г. Белебей для проведения круглогодичных ярмарок с расширенной реализацией сельскохозяйственной продукции и 1 площадка в р.п. Приютово для проведения ярмарок выходного дня. В 2022 году проведено 208 сельскохозяйственных ярмарок с предоставлением более 250 торговых мест. </w:t>
      </w:r>
    </w:p>
    <w:p w:rsidR="00EB075C" w:rsidRPr="00C86443" w:rsidRDefault="00EB075C" w:rsidP="0054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443">
        <w:rPr>
          <w:rFonts w:ascii="Times New Roman" w:eastAsia="Times New Roman" w:hAnsi="Times New Roman" w:cs="Times New Roman"/>
          <w:sz w:val="24"/>
          <w:szCs w:val="24"/>
        </w:rPr>
        <w:t>В 2022 году в г.Белебей открыт филиал центра «Мой бизнес». Основные задачи Центра - оказание информационно - консультационных услуги по вопросам ведения бизнеса, а также организация образовательных мероприятий для предпринимателей.</w:t>
      </w:r>
    </w:p>
    <w:p w:rsidR="00EB075C" w:rsidRPr="00C86443" w:rsidRDefault="00EB075C" w:rsidP="0054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443">
        <w:rPr>
          <w:rFonts w:ascii="Times New Roman" w:eastAsia="Times New Roman" w:hAnsi="Times New Roman" w:cs="Times New Roman"/>
          <w:sz w:val="24"/>
          <w:szCs w:val="24"/>
        </w:rPr>
        <w:lastRenderedPageBreak/>
        <w:t>В 2023 году реализация мероприятий по поддержке и развитию предпринимательства будет продолжена.</w:t>
      </w:r>
    </w:p>
    <w:p w:rsidR="00EB075C" w:rsidRPr="00C86443" w:rsidRDefault="00EB075C" w:rsidP="0054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Прогнозируемая положительная динамика развития предпринимательства до 2026 года обусловлена мерами поддержки, активно принимаемыми на всех уровнях власти. Господдержка малого и среднего бизнеса в 2023 году будет осуществляться сразу по нескольким направлениям: субсидии и гранты, в том числе субсидии от центра занятости, поддержка </w:t>
      </w:r>
      <w:proofErr w:type="spellStart"/>
      <w:r w:rsidRPr="00C86443">
        <w:rPr>
          <w:rFonts w:ascii="Times New Roman" w:eastAsia="Times New Roman" w:hAnsi="Times New Roman" w:cs="Times New Roman"/>
          <w:sz w:val="24"/>
          <w:szCs w:val="24"/>
        </w:rPr>
        <w:t>самозанятых</w:t>
      </w:r>
      <w:proofErr w:type="spellEnd"/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, предоставление банковских гарантий, </w:t>
      </w:r>
      <w:proofErr w:type="spellStart"/>
      <w:r w:rsidRPr="00C86443">
        <w:rPr>
          <w:rFonts w:ascii="Times New Roman" w:eastAsia="Times New Roman" w:hAnsi="Times New Roman" w:cs="Times New Roman"/>
          <w:sz w:val="24"/>
          <w:szCs w:val="24"/>
        </w:rPr>
        <w:t>микрозаймы</w:t>
      </w:r>
      <w:proofErr w:type="spellEnd"/>
      <w:r w:rsidRPr="00C86443">
        <w:rPr>
          <w:rFonts w:ascii="Times New Roman" w:eastAsia="Times New Roman" w:hAnsi="Times New Roman" w:cs="Times New Roman"/>
          <w:sz w:val="24"/>
          <w:szCs w:val="24"/>
        </w:rPr>
        <w:t>, льготный лизинг, образовательные программы, бесплатное консультирование.</w:t>
      </w:r>
    </w:p>
    <w:p w:rsidR="00FA40F5" w:rsidRPr="00C86443" w:rsidRDefault="00FA40F5" w:rsidP="00FA40F5">
      <w:pPr>
        <w:shd w:val="clear" w:color="auto" w:fill="FFFFFF"/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Кроме того, на местном уровне реализуется муниципальная программа поддержки и развития предпринимательства, которая обобщает усилия органов местного самоуправления, общественных объединений в сфере поддержки малого предпринимательства и активизации малого бизнеса, особенно в части создания инфраструктуры поддержки малого и среднего предпринимательства. На оказание финансовой поддержки предпринимателям в </w:t>
      </w:r>
      <w:proofErr w:type="gramStart"/>
      <w:r w:rsidRPr="00C86443">
        <w:rPr>
          <w:rFonts w:ascii="Times New Roman" w:eastAsia="Times New Roman" w:hAnsi="Times New Roman" w:cs="Times New Roman"/>
          <w:sz w:val="24"/>
          <w:szCs w:val="24"/>
        </w:rPr>
        <w:t>виде</w:t>
      </w:r>
      <w:proofErr w:type="gramEnd"/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 субсидий, программой в 2023 году направлено 2 </w:t>
      </w:r>
      <w:r w:rsidR="00557EBA" w:rsidRPr="00C86443">
        <w:rPr>
          <w:rFonts w:ascii="Times New Roman" w:eastAsia="Times New Roman" w:hAnsi="Times New Roman" w:cs="Times New Roman"/>
          <w:sz w:val="24"/>
          <w:szCs w:val="24"/>
        </w:rPr>
        <w:t>млн. рублей</w:t>
      </w:r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 средств местного бюджета и 1066 </w:t>
      </w:r>
      <w:r w:rsidR="00557EBA" w:rsidRPr="00C86443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 средств республиканского бюджета. Указанные суммы предоставлены в </w:t>
      </w:r>
      <w:proofErr w:type="gramStart"/>
      <w:r w:rsidRPr="00C86443">
        <w:rPr>
          <w:rFonts w:ascii="Times New Roman" w:eastAsia="Times New Roman" w:hAnsi="Times New Roman" w:cs="Times New Roman"/>
          <w:sz w:val="24"/>
          <w:szCs w:val="24"/>
        </w:rPr>
        <w:t>виде</w:t>
      </w:r>
      <w:proofErr w:type="gramEnd"/>
      <w:r w:rsidRPr="00C86443">
        <w:rPr>
          <w:rFonts w:ascii="Times New Roman" w:eastAsia="Times New Roman" w:hAnsi="Times New Roman" w:cs="Times New Roman"/>
          <w:sz w:val="24"/>
          <w:szCs w:val="24"/>
        </w:rPr>
        <w:t xml:space="preserve"> субсидий 4 предпринимателям.  В 2024 году планируется сохранить данные объемы финансовой поддержки. Все эти меры будут способствовать дальнейшему развитию малого и среднего предпринимательства.</w:t>
      </w:r>
    </w:p>
    <w:p w:rsidR="00CE27BC" w:rsidRPr="00C86443" w:rsidRDefault="0073523C" w:rsidP="00545875">
      <w:pPr>
        <w:spacing w:before="120" w:after="12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86443">
        <w:rPr>
          <w:rFonts w:ascii="Times New Roman" w:hAnsi="Times New Roman"/>
          <w:sz w:val="24"/>
          <w:szCs w:val="24"/>
        </w:rPr>
        <w:t>Социальная сфера</w:t>
      </w:r>
    </w:p>
    <w:p w:rsidR="00EB075C" w:rsidRPr="00C86443" w:rsidRDefault="00EB075C" w:rsidP="00545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AC6" w:rsidRPr="00C86443" w:rsidRDefault="00B44AC6" w:rsidP="00B44AC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 xml:space="preserve">В 2022 году среднегодовая численность постоянного населения муниципального района с учетом итогов Всероссийской переписи населения 2020 года составила 96230 человек, в том числе городского населения – 78 661 человек, сельского населения – 17 569 человек.  </w:t>
      </w:r>
    </w:p>
    <w:p w:rsidR="00D61FC2" w:rsidRPr="00C86443" w:rsidRDefault="00B44AC6" w:rsidP="00D61FC2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 xml:space="preserve">По оценочным данным, в 2023 году среднегодовая численность населения составит 95595 человек. Сокращение численности в 2023 году обусловлено наличием естественной убыли и миграционного оттока. В данном случае значительное влияние на демографическую ситуацию оказывают последствия низкого уровня рождаемости, наблюдаемого в 90-е годы. Дальнейшее увеличение численности населения обусловлено наличием миграционного прироста населения. </w:t>
      </w:r>
    </w:p>
    <w:p w:rsidR="00D61FC2" w:rsidRPr="00C86443" w:rsidRDefault="00B44AC6" w:rsidP="00B44AC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 xml:space="preserve">В 2024 году по консервативному и базовому вариантам прогноза среднегодовая численность снижается до 95203 и 95300 человек соответственно. </w:t>
      </w:r>
    </w:p>
    <w:p w:rsidR="00B44AC6" w:rsidRPr="00C86443" w:rsidRDefault="00D61FC2" w:rsidP="00D61FC2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 xml:space="preserve">В сравнении с прогнозом социально-экономического развития муниципального района </w:t>
      </w:r>
      <w:r w:rsidRPr="00C86443">
        <w:rPr>
          <w:rFonts w:ascii="Times New Roman" w:hAnsi="Times New Roman"/>
          <w:sz w:val="24"/>
          <w:szCs w:val="24"/>
          <w:shd w:val="clear" w:color="auto" w:fill="FFFFFF"/>
        </w:rPr>
        <w:t>подготовленного в июне 2023 года с учетом предварительных итогов социально-экономического развития муниципального района за январь-май 2023 года, в</w:t>
      </w:r>
      <w:r w:rsidR="00B44AC6" w:rsidRPr="00C86443">
        <w:rPr>
          <w:rFonts w:ascii="Times New Roman" w:eastAsia="Times New Roman" w:hAnsi="Times New Roman"/>
          <w:sz w:val="24"/>
          <w:szCs w:val="24"/>
          <w:lang w:eastAsia="ru-RU"/>
        </w:rPr>
        <w:t xml:space="preserve"> 2025-2026 годы по базовому варианту прогнозируется рост </w:t>
      </w:r>
      <w:r w:rsidRPr="00C86443">
        <w:rPr>
          <w:rFonts w:ascii="Times New Roman" w:hAnsi="Times New Roman"/>
          <w:sz w:val="24"/>
          <w:szCs w:val="24"/>
          <w:shd w:val="clear" w:color="auto" w:fill="FFFFFF"/>
        </w:rPr>
        <w:t>среднегодов</w:t>
      </w:r>
      <w:r w:rsidR="00411E6E" w:rsidRPr="00C86443">
        <w:rPr>
          <w:rFonts w:ascii="Times New Roman" w:hAnsi="Times New Roman"/>
          <w:sz w:val="24"/>
          <w:szCs w:val="24"/>
          <w:shd w:val="clear" w:color="auto" w:fill="FFFFFF"/>
        </w:rPr>
        <w:t>ой</w:t>
      </w:r>
      <w:r w:rsidRPr="00C8644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44AC6" w:rsidRPr="00C86443">
        <w:rPr>
          <w:rFonts w:ascii="Times New Roman" w:eastAsia="Times New Roman" w:hAnsi="Times New Roman"/>
          <w:sz w:val="24"/>
          <w:szCs w:val="24"/>
          <w:lang w:eastAsia="ru-RU"/>
        </w:rPr>
        <w:t>численности населения до 95310-95320 человек</w:t>
      </w:r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 xml:space="preserve"> (ранее численность постоянного населения прогнозировалась в 2025 году по базовому варианту на уровне – 95304 человек, в 2026 году – 95309 человек, по</w:t>
      </w:r>
      <w:proofErr w:type="gramEnd"/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консервативному варианту в 2025 году – 95095 человек, в 2026 году – 95988 человек)</w:t>
      </w:r>
      <w:r w:rsidR="00B44AC6" w:rsidRPr="00C864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>Данное изменение обусловлено снижением коэффициента смертности с 12,78 до 11,4 в 2023 году, и дальнейшим по</w:t>
      </w:r>
      <w:r w:rsidR="00411E6E" w:rsidRPr="00C86443">
        <w:rPr>
          <w:rFonts w:ascii="Times New Roman" w:eastAsia="Times New Roman" w:hAnsi="Times New Roman"/>
          <w:sz w:val="24"/>
          <w:szCs w:val="24"/>
          <w:lang w:eastAsia="ru-RU"/>
        </w:rPr>
        <w:t xml:space="preserve">степенным снижением показателя к 2026 году с 12,38 до 11,23. Также в </w:t>
      </w:r>
      <w:proofErr w:type="gramStart"/>
      <w:r w:rsidR="00411E6E" w:rsidRPr="00C86443"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proofErr w:type="gramEnd"/>
      <w:r w:rsidR="00411E6E" w:rsidRPr="00C86443">
        <w:rPr>
          <w:rFonts w:ascii="Times New Roman" w:eastAsia="Times New Roman" w:hAnsi="Times New Roman"/>
          <w:sz w:val="24"/>
          <w:szCs w:val="24"/>
          <w:lang w:eastAsia="ru-RU"/>
        </w:rPr>
        <w:t xml:space="preserve"> с данными </w:t>
      </w:r>
      <w:proofErr w:type="spellStart"/>
      <w:r w:rsidR="00411E6E" w:rsidRPr="00C86443">
        <w:rPr>
          <w:rFonts w:ascii="Times New Roman" w:eastAsia="Times New Roman" w:hAnsi="Times New Roman"/>
          <w:sz w:val="24"/>
          <w:szCs w:val="24"/>
          <w:lang w:eastAsia="ru-RU"/>
        </w:rPr>
        <w:t>Баш</w:t>
      </w:r>
      <w:r w:rsidR="00876F6E" w:rsidRPr="00C86443">
        <w:rPr>
          <w:rFonts w:ascii="Times New Roman" w:eastAsia="Times New Roman" w:hAnsi="Times New Roman"/>
          <w:sz w:val="24"/>
          <w:szCs w:val="24"/>
          <w:lang w:eastAsia="ru-RU"/>
        </w:rPr>
        <w:t>кортостан</w:t>
      </w:r>
      <w:r w:rsidR="00411E6E" w:rsidRPr="00C86443">
        <w:rPr>
          <w:rFonts w:ascii="Times New Roman" w:eastAsia="Times New Roman" w:hAnsi="Times New Roman"/>
          <w:sz w:val="24"/>
          <w:szCs w:val="24"/>
          <w:lang w:eastAsia="ru-RU"/>
        </w:rPr>
        <w:t>стата</w:t>
      </w:r>
      <w:proofErr w:type="spellEnd"/>
      <w:r w:rsidR="00411E6E" w:rsidRPr="00C8644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итогам 9 месяцев 2023 года спрогнозирован показатель коэффициента рождаемости в 2023 году равным 6,3 вместо 7,01 спрогнозированного ранее в июне текущего по данным </w:t>
      </w:r>
      <w:proofErr w:type="spellStart"/>
      <w:r w:rsidR="00411E6E" w:rsidRPr="00C86443">
        <w:rPr>
          <w:rFonts w:ascii="Times New Roman" w:eastAsia="Times New Roman" w:hAnsi="Times New Roman"/>
          <w:sz w:val="24"/>
          <w:szCs w:val="24"/>
          <w:lang w:eastAsia="ru-RU"/>
        </w:rPr>
        <w:t>Баш</w:t>
      </w:r>
      <w:r w:rsidR="00876F6E" w:rsidRPr="00C86443">
        <w:rPr>
          <w:rFonts w:ascii="Times New Roman" w:eastAsia="Times New Roman" w:hAnsi="Times New Roman"/>
          <w:sz w:val="24"/>
          <w:szCs w:val="24"/>
          <w:lang w:eastAsia="ru-RU"/>
        </w:rPr>
        <w:t>кортостанстата</w:t>
      </w:r>
      <w:proofErr w:type="spellEnd"/>
      <w:r w:rsidR="00411E6E" w:rsidRPr="00C86443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B44AC6" w:rsidRPr="00C86443" w:rsidRDefault="00B44AC6" w:rsidP="00B44AC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 xml:space="preserve">В структуре населения с 2025 года ожидается увеличение численности как сельского, так и городского населения. Соотношение городского и сельского населения к общей численности населения в 2026 году составит 81,8% и 18,2% соответственно.    </w:t>
      </w:r>
    </w:p>
    <w:p w:rsidR="00B44AC6" w:rsidRPr="00C86443" w:rsidRDefault="00B44AC6" w:rsidP="00C738A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>По итогам 2022 года наблюдается миграционный отток населения - 208 человек.</w:t>
      </w:r>
      <w:r w:rsidR="00C738AD" w:rsidRPr="00C86443">
        <w:rPr>
          <w:rFonts w:ascii="Times New Roman" w:hAnsi="Times New Roman"/>
          <w:sz w:val="28"/>
          <w:szCs w:val="28"/>
        </w:rPr>
        <w:t xml:space="preserve"> </w:t>
      </w:r>
      <w:r w:rsidR="00C738AD" w:rsidRPr="00C86443">
        <w:rPr>
          <w:rFonts w:ascii="Times New Roman" w:eastAsia="Times New Roman" w:hAnsi="Times New Roman"/>
          <w:sz w:val="24"/>
          <w:szCs w:val="24"/>
          <w:lang w:eastAsia="ru-RU"/>
        </w:rPr>
        <w:t>В 2023 году коэффициент миграционного прироста составит -2,72 человека на 10,0 тыс. населения.</w:t>
      </w:r>
    </w:p>
    <w:p w:rsidR="00B44AC6" w:rsidRPr="00C86443" w:rsidRDefault="00B44AC6" w:rsidP="00B44AC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43">
        <w:rPr>
          <w:rFonts w:ascii="Times New Roman" w:hAnsi="Times New Roman"/>
          <w:sz w:val="24"/>
          <w:szCs w:val="24"/>
        </w:rPr>
        <w:t>На период 202</w:t>
      </w:r>
      <w:r w:rsidR="00C738AD" w:rsidRPr="00C86443">
        <w:rPr>
          <w:rFonts w:ascii="Times New Roman" w:hAnsi="Times New Roman"/>
          <w:sz w:val="24"/>
          <w:szCs w:val="24"/>
        </w:rPr>
        <w:t>4</w:t>
      </w:r>
      <w:r w:rsidRPr="00C86443">
        <w:rPr>
          <w:rFonts w:ascii="Times New Roman" w:hAnsi="Times New Roman"/>
          <w:sz w:val="24"/>
          <w:szCs w:val="24"/>
        </w:rPr>
        <w:t>-202</w:t>
      </w:r>
      <w:r w:rsidR="00C738AD" w:rsidRPr="00C86443">
        <w:rPr>
          <w:rFonts w:ascii="Times New Roman" w:hAnsi="Times New Roman"/>
          <w:sz w:val="24"/>
          <w:szCs w:val="24"/>
        </w:rPr>
        <w:t>6</w:t>
      </w:r>
      <w:r w:rsidRPr="00C86443">
        <w:rPr>
          <w:rFonts w:ascii="Times New Roman" w:hAnsi="Times New Roman"/>
          <w:sz w:val="24"/>
          <w:szCs w:val="24"/>
        </w:rPr>
        <w:t xml:space="preserve"> годы планируется положительное значение показателя в </w:t>
      </w:r>
      <w:proofErr w:type="gramStart"/>
      <w:r w:rsidRPr="00C86443">
        <w:rPr>
          <w:rFonts w:ascii="Times New Roman" w:hAnsi="Times New Roman"/>
          <w:sz w:val="24"/>
          <w:szCs w:val="24"/>
        </w:rPr>
        <w:t>рамках</w:t>
      </w:r>
      <w:proofErr w:type="gramEnd"/>
      <w:r w:rsidRPr="00C86443">
        <w:rPr>
          <w:rFonts w:ascii="Times New Roman" w:hAnsi="Times New Roman"/>
          <w:sz w:val="24"/>
          <w:szCs w:val="24"/>
        </w:rPr>
        <w:t xml:space="preserve"> дальнейшего совершенствования территории опережающего социально-экономического развития г. Белебей и реализации инвестиционных проектов в целом на территории муниципального района.</w:t>
      </w:r>
    </w:p>
    <w:p w:rsidR="00B44AC6" w:rsidRPr="00C86443" w:rsidRDefault="00B44AC6" w:rsidP="00B44AC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Коэффициент рождаемости, характеризующий число родившихся на 1000 человек населения, в период с 2024 по 2026 годы по базовому варианту прогноза будет иметь тенденцию к повышению с 7,01 до 7,08 промилле. </w:t>
      </w:r>
    </w:p>
    <w:p w:rsidR="00B44AC6" w:rsidRPr="00C86443" w:rsidRDefault="00B44AC6" w:rsidP="00B44AC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 xml:space="preserve">С учетом реализации мероприятий в области ранней диагностики, лечения и профилактики заболеваний в 2024-2026 годы по базовому варианту прогнозируется снижение коэффициента смертности с 11,33 до 11,23 промилле. </w:t>
      </w:r>
    </w:p>
    <w:p w:rsidR="00B44AC6" w:rsidRPr="00C86443" w:rsidRDefault="00B44AC6" w:rsidP="00B44AC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 xml:space="preserve">По консервативному варианту прогноза коэффициент рождаемости запланирован с ростом с 6,56 промилле в 2024 году до 6,63 промилле в 2026 году, коэффициент смертности снизится незначительно с 11,4 промилле в 2024 году до 11,29 промилле в 2026 году. </w:t>
      </w:r>
    </w:p>
    <w:p w:rsidR="00C738AD" w:rsidRPr="00C86443" w:rsidRDefault="00C738AD" w:rsidP="00C738A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 xml:space="preserve">В 2022 году наблюдалось снижение трудовых ресурсов, что обусловлено демографическими проблемами, возникшими в районе в связи с естественной убылью населения и сокращением притока мигрантов (естественная убыль населения в 2022 году составила -547 человек; миграционная убыль населения в 2022 году составила -208 человек). </w:t>
      </w:r>
      <w:proofErr w:type="gramEnd"/>
    </w:p>
    <w:p w:rsidR="00C738AD" w:rsidRPr="00C86443" w:rsidRDefault="00C738AD" w:rsidP="00C738A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 xml:space="preserve">Относительно стабильной остаётся численность </w:t>
      </w:r>
      <w:proofErr w:type="gramStart"/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>занятых</w:t>
      </w:r>
      <w:proofErr w:type="gramEnd"/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 xml:space="preserve"> в экономике. </w:t>
      </w:r>
      <w:proofErr w:type="gramStart"/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>Наблюдается снижение численности работников крупных и средних предприятий, в основном в сферах добычи полезных ископаемых и обрабатывающих производств, что связано с оптимизационными процессами, проводимыми предприятиями данных отраслей.</w:t>
      </w:r>
      <w:proofErr w:type="gramEnd"/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этом происходит рост числа субъектов малого и среднего предпринимательства и занятых в малом бизнесе, а также рост количества </w:t>
      </w:r>
      <w:proofErr w:type="spellStart"/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>самозанятых</w:t>
      </w:r>
      <w:proofErr w:type="spellEnd"/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граждан.</w:t>
      </w:r>
    </w:p>
    <w:p w:rsidR="00C738AD" w:rsidRPr="00C86443" w:rsidRDefault="00C738AD" w:rsidP="00C738A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реализации мероприятий по развитию негосударственного сектора в социальной сфере (реорганизацией предприятий и учреждений, оптимизацией численности работников, а также передачей на </w:t>
      </w:r>
      <w:proofErr w:type="spellStart"/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>аутсорсинг</w:t>
      </w:r>
      <w:proofErr w:type="spellEnd"/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 xml:space="preserve"> непрофильных направлений деятельности в муниципальных учреждениях - организацию питания, уборку помещений, охрану зданий, техническое сопровождение, транспортное обслуживание) с 2016 года происходит снижение количества лиц, занятых в государственных и муниципальных предприятиях и учреждениях.</w:t>
      </w:r>
      <w:proofErr w:type="gramEnd"/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 xml:space="preserve"> Высвобождаемые трудовые ресурсы переходят в частные формы собственности (в частные организации, к индивидуальным предпринимателям, в разряд </w:t>
      </w:r>
      <w:proofErr w:type="spellStart"/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>самозанятых</w:t>
      </w:r>
      <w:proofErr w:type="spellEnd"/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граждан).</w:t>
      </w:r>
    </w:p>
    <w:p w:rsidR="00C738AD" w:rsidRPr="00C86443" w:rsidRDefault="00C738AD" w:rsidP="00C738A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>В плановом периоде одной из мер для стабилизации ситуации на рынке труда будет являться реализация мероприятий по организации профессионального обучения и дополнительного профессионального образования отдельных категорий граждан, согласно Постановлению Правительства Российской Федерации от 13 марта 2021 года № 369 «О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</w:t>
      </w:r>
      <w:proofErr w:type="gramEnd"/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отдельных категорий граждан в </w:t>
      </w:r>
      <w:proofErr w:type="gramStart"/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>рамках</w:t>
      </w:r>
      <w:proofErr w:type="gramEnd"/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проекта «Содействие занятости» национального проекта «Демография».</w:t>
      </w:r>
    </w:p>
    <w:p w:rsidR="00C738AD" w:rsidRPr="00C86443" w:rsidRDefault="00C738AD" w:rsidP="00C738A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Продолжается реализация дополнительных мер, направленных на поддержку рынка труда и сохранение занятости на предприятиях: </w:t>
      </w:r>
    </w:p>
    <w:p w:rsidR="00C738AD" w:rsidRPr="00C86443" w:rsidRDefault="00C738AD" w:rsidP="00C738A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 xml:space="preserve">- организация общественных работ для граждан, зарегистрированных в </w:t>
      </w:r>
      <w:proofErr w:type="gramStart"/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>центрах</w:t>
      </w:r>
      <w:proofErr w:type="gramEnd"/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занятости, включая безработных граждан; </w:t>
      </w:r>
    </w:p>
    <w:p w:rsidR="00C738AD" w:rsidRPr="00C86443" w:rsidRDefault="00C738AD" w:rsidP="00C738A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>- организация временного трудоустройства работников, находящихся под риском увольнения;</w:t>
      </w:r>
    </w:p>
    <w:p w:rsidR="00C738AD" w:rsidRPr="00C86443" w:rsidRDefault="00C738AD" w:rsidP="00C738A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>- предоставление субсидии из бюджета Республики Башкортостан на возмещение части затрат на оплату труда инвалидов в организациях, образованных общественными объединениями инвалидов;</w:t>
      </w:r>
    </w:p>
    <w:p w:rsidR="00C738AD" w:rsidRPr="00C86443" w:rsidRDefault="00C738AD" w:rsidP="00C738A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 xml:space="preserve">- государственная поддержка работодателей – субсидируемый </w:t>
      </w:r>
      <w:proofErr w:type="spellStart"/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>найм</w:t>
      </w:r>
      <w:proofErr w:type="spellEnd"/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 xml:space="preserve"> (предоставление субсидий Фондом пенсионного и социального страхования Российской Федерации в 2023 году из бюджета Фонда пенсионного и социального страхования Российской Федерации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граждан).</w:t>
      </w:r>
      <w:proofErr w:type="gramEnd"/>
    </w:p>
    <w:p w:rsidR="00C738AD" w:rsidRPr="00C86443" w:rsidRDefault="00C738AD" w:rsidP="00C738A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 xml:space="preserve">В 2022 году более трех тысяч горожан сохранили занятость у прежнего работодателя в период риска увольнения. </w:t>
      </w:r>
      <w:proofErr w:type="gramStart"/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>На реализацию дополнительных мероприятий, направленных на снижение напряженности на рынке труда из федерального и республиканского бюджетов работодателями нашего района получены средства на общую сумму более 100 миллионов рублей:</w:t>
      </w:r>
      <w:proofErr w:type="gramEnd"/>
    </w:p>
    <w:p w:rsidR="00C738AD" w:rsidRPr="00C86443" w:rsidRDefault="00C738AD" w:rsidP="00C738A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организованы временные работы для 2000 сотрудников, оказавшихся в </w:t>
      </w:r>
      <w:proofErr w:type="gramStart"/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>простое</w:t>
      </w:r>
      <w:proofErr w:type="gramEnd"/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под риском увольнения;</w:t>
      </w:r>
    </w:p>
    <w:p w:rsidR="00C738AD" w:rsidRPr="00C86443" w:rsidRDefault="00C738AD" w:rsidP="00C738A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>- 80 работников направлены на общественные работы;</w:t>
      </w:r>
      <w:proofErr w:type="gramEnd"/>
    </w:p>
    <w:p w:rsidR="00C738AD" w:rsidRPr="00C86443" w:rsidRDefault="00C738AD" w:rsidP="00C738A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 xml:space="preserve">- 980 сотрудников промышленных предприятий прошли обучение и получили </w:t>
      </w:r>
      <w:proofErr w:type="gramStart"/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>дополнительное профессиональное</w:t>
      </w:r>
      <w:proofErr w:type="gramEnd"/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образование. </w:t>
      </w:r>
    </w:p>
    <w:p w:rsidR="00C738AD" w:rsidRPr="00C86443" w:rsidRDefault="00C738AD" w:rsidP="00C738A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в данном </w:t>
      </w:r>
      <w:proofErr w:type="gramStart"/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>направлении</w:t>
      </w:r>
      <w:proofErr w:type="gramEnd"/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продолжается и в текущем году.</w:t>
      </w:r>
    </w:p>
    <w:p w:rsidR="00C738AD" w:rsidRPr="00C86443" w:rsidRDefault="00C738AD" w:rsidP="00C738A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>Базовый вариант предполагает улучшение ситуации на рынке труда вследствие реализации ряда инвестиционных проектов, в том числе в рамках создания территории опережающего развития «Белебей». Планируется создание новых рабочих мест:</w:t>
      </w:r>
    </w:p>
    <w:p w:rsidR="00C738AD" w:rsidRPr="00C86443" w:rsidRDefault="00C738AD" w:rsidP="00C738A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>- ООО «Белебеевский завод «</w:t>
      </w:r>
      <w:proofErr w:type="spellStart"/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>Автокомплект</w:t>
      </w:r>
      <w:proofErr w:type="spellEnd"/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 xml:space="preserve">» с участием Фонда развития промышленности Республики Башкортостан в рамках реализации нового инвестиционного проекта «Модернизация производства </w:t>
      </w:r>
      <w:proofErr w:type="spellStart"/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>автокомпонентов</w:t>
      </w:r>
      <w:proofErr w:type="spellEnd"/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 xml:space="preserve"> ходовой части и рулевого управления легкового автомобиля» планируется создать 24 новых рабочих места, в том числе 2 высокотехнологичных. Период реализации проекта 2020-2025 годы;</w:t>
      </w:r>
    </w:p>
    <w:p w:rsidR="00C738AD" w:rsidRPr="00C86443" w:rsidRDefault="00C738AD" w:rsidP="00C738A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>- во втором квартале 2023 года Белебеевский завод «</w:t>
      </w:r>
      <w:proofErr w:type="spellStart"/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>Автокомплект</w:t>
      </w:r>
      <w:proofErr w:type="spellEnd"/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>» запусти</w:t>
      </w:r>
      <w:r w:rsidR="003751E6" w:rsidRPr="00C86443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производство тормозных дисков для легковых автомобилей «АвтоВАЗа». В результате реализации инвестиционного проекта </w:t>
      </w:r>
      <w:r w:rsidR="003751E6" w:rsidRPr="00C86443">
        <w:rPr>
          <w:rFonts w:ascii="Times New Roman" w:eastAsia="Times New Roman" w:hAnsi="Times New Roman"/>
          <w:sz w:val="24"/>
          <w:szCs w:val="24"/>
          <w:lang w:eastAsia="ru-RU"/>
        </w:rPr>
        <w:t>созданы</w:t>
      </w:r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 xml:space="preserve"> 2 новых высокотехнологичных рабочих места;</w:t>
      </w:r>
    </w:p>
    <w:p w:rsidR="00C738AD" w:rsidRPr="00C86443" w:rsidRDefault="00C738AD" w:rsidP="00C738A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>- АО «Белебеевский ордена «Знак Почёта» молочный комбинат» в 2024 году планирует ввести в эксплуатацию завод по производству мягких сыров;</w:t>
      </w:r>
    </w:p>
    <w:p w:rsidR="00C738AD" w:rsidRPr="00C86443" w:rsidRDefault="00C738AD" w:rsidP="00C738A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 xml:space="preserve">- НПЦ ЭНТ ООО «Юпитер» планирует в 2020-2023 годах реализовать инвестиционный проект «Организация производства пиломатериалов и </w:t>
      </w:r>
      <w:proofErr w:type="spellStart"/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>арболитовых</w:t>
      </w:r>
      <w:proofErr w:type="spellEnd"/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 xml:space="preserve"> панелей на территории моногорода Белебей Республики Башкортостан Приволжского региона РФ», в рамках которого планируется создание 143 новых рабочих места;</w:t>
      </w:r>
    </w:p>
    <w:p w:rsidR="00C738AD" w:rsidRPr="00C86443" w:rsidRDefault="00C738AD" w:rsidP="00C738A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 xml:space="preserve"> - ООО «ТК Белебеевский» планирует в 2023-2026 </w:t>
      </w:r>
      <w:proofErr w:type="gramStart"/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>годах</w:t>
      </w:r>
      <w:proofErr w:type="gramEnd"/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реализовать проект «Строительство тепличного комплекса по выращиванию томатов и огурцов в г.Белебей</w:t>
      </w:r>
      <w:r w:rsidR="00CC0B87" w:rsidRPr="00C8644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38AD" w:rsidRPr="00C86443" w:rsidRDefault="00C738AD" w:rsidP="00C738A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>Реализация вышеуказанных мер будет способствовать восстановлению численности трудовых ресурсов в прогнозном периоде на 2024 – 2026 годов по базовому варианту прогноза с 54979 человек до 55073 человек.</w:t>
      </w:r>
    </w:p>
    <w:p w:rsidR="00C738AD" w:rsidRPr="00C86443" w:rsidRDefault="00C738AD" w:rsidP="00C738A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 xml:space="preserve">Рост численности трудовых ресурсов планируется обеспечить за счет увеличения численности трудоспособного населения в связи с повышением пенсионного возраста в рамках </w:t>
      </w:r>
      <w:r w:rsidR="00CC0B87" w:rsidRPr="00C86443">
        <w:rPr>
          <w:rFonts w:ascii="Times New Roman" w:eastAsia="Times New Roman" w:hAnsi="Times New Roman"/>
          <w:sz w:val="24"/>
          <w:szCs w:val="24"/>
          <w:lang w:eastAsia="ru-RU"/>
        </w:rPr>
        <w:t>реформирования пенсионной</w:t>
      </w:r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системы Российской Федерации, а также вступления в трудоспособный возраст подростков.</w:t>
      </w:r>
      <w:proofErr w:type="gramEnd"/>
    </w:p>
    <w:p w:rsidR="00C738AD" w:rsidRPr="00C86443" w:rsidRDefault="00C738AD" w:rsidP="00CC0B87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>После снижения численности занятых в экономике в 2022 году до 43788 человек, в 2023 году прогнозируется увеличение до 43832 человек. В плановом периоде 2024-2026 годов по базовому варианту рост численности занятых в экономике прогнозируется с 43884 человек до 44000 человек.</w:t>
      </w:r>
    </w:p>
    <w:p w:rsidR="00C738AD" w:rsidRPr="00C86443" w:rsidRDefault="00C738AD" w:rsidP="00C738A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Среднемесячная заработная плата по крупным и средним предприятиям в 2022 году составила 42454,30 руб., что на 11,99% выше уровня 2021 года. </w:t>
      </w:r>
    </w:p>
    <w:p w:rsidR="00C738AD" w:rsidRPr="00C86443" w:rsidRDefault="00C738AD" w:rsidP="00C738A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>По предварительной оценке, с учетом данных</w:t>
      </w:r>
      <w:r w:rsidR="00CC0B87" w:rsidRPr="00C864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C0B87" w:rsidRPr="00C86443">
        <w:rPr>
          <w:rFonts w:ascii="Times New Roman" w:eastAsia="Times New Roman" w:hAnsi="Times New Roman"/>
          <w:sz w:val="24"/>
          <w:szCs w:val="24"/>
          <w:lang w:eastAsia="ru-RU"/>
        </w:rPr>
        <w:t>Башкортостанстата</w:t>
      </w:r>
      <w:proofErr w:type="spellEnd"/>
      <w:r w:rsidR="00CC0B87" w:rsidRPr="00C86443">
        <w:rPr>
          <w:rFonts w:ascii="Times New Roman" w:eastAsia="Times New Roman" w:hAnsi="Times New Roman"/>
          <w:sz w:val="24"/>
          <w:szCs w:val="24"/>
          <w:lang w:eastAsia="ru-RU"/>
        </w:rPr>
        <w:t xml:space="preserve"> на 01.10.2023г.</w:t>
      </w:r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>, на момент формирования прогноза рост среднемесячной заработной платы в 2023 году по крупным и средним предприятиям составит 115,26%. Рост среднемесячной заработной платы по отношению к летней оценке составил 2,26 процентных пункта. Одним из факторов данного роста является увеличение заработной платы на крупных и средних предприятиях промышленного комплекса муниципального района Белебеевский район. По оперативной информации предприятий промышленного комплекса, за 9 месяцев 2023 года рост заработной платы состави</w:t>
      </w:r>
      <w:r w:rsidR="00CC0B87" w:rsidRPr="00C86443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 xml:space="preserve"> 122,2 % по отношению к 9 месяцам 2022 году (9 месяцев 2022 год - 38987,0 руб., 9 месяцев 2023 год – 47655,0 руб.).   </w:t>
      </w:r>
    </w:p>
    <w:p w:rsidR="00C738AD" w:rsidRPr="00C86443" w:rsidRDefault="00C738AD" w:rsidP="00C738A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>В прогнозируемом периоде 2024-2026 годов темпы роста заработной платы крупных и средних предприятий составят по консервативному варианту 105,79 - 109,80%, по базовому варианту –– 106,10 - 110,2 %.</w:t>
      </w:r>
    </w:p>
    <w:p w:rsidR="00C738AD" w:rsidRPr="00C86443" w:rsidRDefault="00C738AD" w:rsidP="00C738A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 xml:space="preserve">В 2022 году рост фонда заработной платы работников составил 3,92 % по отношению к 2021 году. </w:t>
      </w:r>
    </w:p>
    <w:p w:rsidR="00C738AD" w:rsidRPr="00C86443" w:rsidRDefault="00C738AD" w:rsidP="00C738A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 xml:space="preserve">В 2023 году рост фонда прогнозируется на 12,61 % к 2022 году. Рост фонда заработной платы работников по отношению к летней оценке составил 2,5 процентных пункта, данные изменения обусловлены ростом заработной платы работников промышленного комплекса. </w:t>
      </w:r>
    </w:p>
    <w:p w:rsidR="00C738AD" w:rsidRPr="00C86443" w:rsidRDefault="00C738AD" w:rsidP="00C738A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прогнозном периоде 2024-2026 годов по базовому варианту темп роста фонда заработной платы работников составит от 110,74 % в 2024 году до 106,4</w:t>
      </w:r>
      <w:r w:rsidR="00876F6E" w:rsidRPr="00C86443">
        <w:rPr>
          <w:rFonts w:ascii="Times New Roman" w:eastAsia="Times New Roman" w:hAnsi="Times New Roman"/>
          <w:sz w:val="24"/>
          <w:szCs w:val="24"/>
          <w:lang w:eastAsia="ru-RU"/>
        </w:rPr>
        <w:t>% в</w:t>
      </w:r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 xml:space="preserve"> 2026 году.</w:t>
      </w:r>
    </w:p>
    <w:p w:rsidR="00C738AD" w:rsidRPr="00C86443" w:rsidRDefault="00C738AD" w:rsidP="00C738A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Увеличение фонда заработной платы и среднемесячной заработной платы работников планируется за счет следующих мероприятий: </w:t>
      </w:r>
    </w:p>
    <w:p w:rsidR="00C738AD" w:rsidRPr="00C86443" w:rsidRDefault="00C738AD" w:rsidP="00C738A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 xml:space="preserve">- реализации Региональной </w:t>
      </w:r>
      <w:proofErr w:type="gramStart"/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>программы снижения доли населения</w:t>
      </w:r>
      <w:proofErr w:type="gramEnd"/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 xml:space="preserve"> с доходами ниже прожиточного минимума в Республике Башкортостан, утвержденной постановлением Правительства Республики Башкортостан от 16 октября 2020 года № 612;</w:t>
      </w:r>
    </w:p>
    <w:p w:rsidR="00C738AD" w:rsidRPr="00C86443" w:rsidRDefault="00C738AD" w:rsidP="00C738A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>- проведение работ по регулированию заработной платы работников бюджетной сферы - обеспечение сохранения установленных Указами Президента Российской Федерации показателей соотношения оплаты труда отдельных категорий работников бюджетной сферы к среднемесячному доходу от трудовой деятельности;</w:t>
      </w:r>
      <w:proofErr w:type="gramEnd"/>
    </w:p>
    <w:p w:rsidR="00C738AD" w:rsidRPr="00C86443" w:rsidRDefault="00C738AD" w:rsidP="00C738A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>- принятия мер по регулированию оплаты труда во внебюджетном секторе экономики;</w:t>
      </w:r>
    </w:p>
    <w:p w:rsidR="00C738AD" w:rsidRPr="00C86443" w:rsidRDefault="00C738AD" w:rsidP="00C738A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>- увеличение с 01.01.2024 г. минимального размера оплаты труда до 22128,30 руб.</w:t>
      </w:r>
    </w:p>
    <w:p w:rsidR="00C738AD" w:rsidRPr="00C86443" w:rsidRDefault="00C738AD" w:rsidP="00C738A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2022 года почти в 2 раза снизился уровень безработицы и составил 0,37%, что ниже </w:t>
      </w:r>
      <w:proofErr w:type="spellStart"/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>среднереспубликанского</w:t>
      </w:r>
      <w:proofErr w:type="spellEnd"/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показателя на 0,43 </w:t>
      </w:r>
      <w:proofErr w:type="gramStart"/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>процентных</w:t>
      </w:r>
      <w:proofErr w:type="gramEnd"/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пункта (по РБ 0,8%). На 01.01.2023 года официально зарегистрировано 187 безработных граждан (2021 год – 335 чел.).</w:t>
      </w:r>
    </w:p>
    <w:p w:rsidR="00C738AD" w:rsidRPr="00C86443" w:rsidRDefault="00C738AD" w:rsidP="00C738A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>Анализ ситуации на рынке труда показывает, что ожидается дальнейшее снижение численности безработных граждан в долгосрочной перспективе.</w:t>
      </w:r>
    </w:p>
    <w:p w:rsidR="00C738AD" w:rsidRPr="00C86443" w:rsidRDefault="00C738AD" w:rsidP="00C738A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 xml:space="preserve">На 10 процентов увеличилось общее число заявленных предприятиями в 2022 году вакансий (в 2022 году 8470 вакансий, на 765 больше, чем в 2021 году - 7705 вакансий). </w:t>
      </w:r>
    </w:p>
    <w:p w:rsidR="00C738AD" w:rsidRPr="00C86443" w:rsidRDefault="00C738AD" w:rsidP="00C738A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 xml:space="preserve">Трудоустроено более тысячи человек, обратившихся в службу занятости, уровень трудоустройства составил 56,1%, что ниже </w:t>
      </w:r>
      <w:proofErr w:type="spellStart"/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>среднереспубликанского</w:t>
      </w:r>
      <w:proofErr w:type="spellEnd"/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показателя на 5,5 процентных пунктов (по РБ 61,6%).</w:t>
      </w:r>
    </w:p>
    <w:p w:rsidR="00C738AD" w:rsidRPr="00C86443" w:rsidRDefault="00C738AD" w:rsidP="00C738A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>На начало 2023 года количество вакансий в 4 раза превышало число зарегистрированных безработных.</w:t>
      </w:r>
    </w:p>
    <w:p w:rsidR="00C738AD" w:rsidRPr="00C86443" w:rsidRDefault="00C738AD" w:rsidP="00C738A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состоянию на 01.11.2023 года уровень зарегистрированной безработицы составил 0,34%, что ниже </w:t>
      </w:r>
      <w:proofErr w:type="spellStart"/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>среднереспубликанского</w:t>
      </w:r>
      <w:proofErr w:type="spellEnd"/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показателя по РБ на 0,29 пунктов (по РБ 0,63%). Уровень трудоустройства на 01.11.2023 года составил 71,3 %, </w:t>
      </w:r>
      <w:r w:rsidR="00876F6E" w:rsidRPr="00C86443">
        <w:rPr>
          <w:rFonts w:ascii="Times New Roman" w:eastAsia="Times New Roman" w:hAnsi="Times New Roman"/>
          <w:sz w:val="24"/>
          <w:szCs w:val="24"/>
          <w:lang w:eastAsia="ru-RU"/>
        </w:rPr>
        <w:t xml:space="preserve">выше </w:t>
      </w:r>
      <w:proofErr w:type="spellStart"/>
      <w:r w:rsidR="00876F6E" w:rsidRPr="00C86443">
        <w:rPr>
          <w:rFonts w:ascii="Times New Roman" w:eastAsia="Times New Roman" w:hAnsi="Times New Roman"/>
          <w:sz w:val="24"/>
          <w:szCs w:val="24"/>
          <w:lang w:eastAsia="ru-RU"/>
        </w:rPr>
        <w:t>среднереспубликанского</w:t>
      </w:r>
      <w:proofErr w:type="spellEnd"/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показателя на 4 пункта (по РБ 67,3%). До конца текущего года ожидается сохранение стабильной ситуации на рынке труда, уровень безработицы будет соответствовать показателям 2022 года. Напряженность на рынке </w:t>
      </w:r>
      <w:r w:rsidR="00CC0B87" w:rsidRPr="00C86443">
        <w:rPr>
          <w:rFonts w:ascii="Times New Roman" w:eastAsia="Times New Roman" w:hAnsi="Times New Roman"/>
          <w:sz w:val="24"/>
          <w:szCs w:val="24"/>
          <w:lang w:eastAsia="ru-RU"/>
        </w:rPr>
        <w:t>труда (</w:t>
      </w:r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 xml:space="preserve">число незанятых граждан на 1 вакансию) на 01 декабря 2023г. </w:t>
      </w:r>
      <w:proofErr w:type="gramStart"/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соответствует </w:t>
      </w:r>
      <w:proofErr w:type="spellStart"/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>среднереспубликанскому</w:t>
      </w:r>
      <w:proofErr w:type="spellEnd"/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показателю и составляет</w:t>
      </w:r>
      <w:proofErr w:type="gramEnd"/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 xml:space="preserve"> 0,3 (РБ – 0,3). </w:t>
      </w:r>
    </w:p>
    <w:p w:rsidR="00C738AD" w:rsidRPr="00C86443" w:rsidRDefault="00C738AD" w:rsidP="00C738A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>В 2023 году по сведениям, полученным от работодателей, значительных высвобождений на предприятиях города Белебей и муниципального района Белебеевский район не ожидается. От 8 предприятий и учреждений муниципального района получены сведения о возможных сокращениях персонала в 2023 году в количестве 54 человек.</w:t>
      </w:r>
    </w:p>
    <w:p w:rsidR="00C738AD" w:rsidRPr="00C86443" w:rsidRDefault="00C738AD" w:rsidP="00C738A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>Приказы о работе в режиме неполного рабочего времени получены от работодателей:</w:t>
      </w:r>
    </w:p>
    <w:p w:rsidR="00C738AD" w:rsidRPr="00C86443" w:rsidRDefault="00C738AD" w:rsidP="00C738A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>- ООО «Белебеевское предприятие «</w:t>
      </w:r>
      <w:proofErr w:type="spellStart"/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>Автодеталь</w:t>
      </w:r>
      <w:proofErr w:type="spellEnd"/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 xml:space="preserve">» неполная рабочая неделя с 01.07.2023 по </w:t>
      </w:r>
      <w:r w:rsidR="00CC0B87" w:rsidRPr="00C86443">
        <w:rPr>
          <w:rFonts w:ascii="Times New Roman" w:eastAsia="Times New Roman" w:hAnsi="Times New Roman"/>
          <w:sz w:val="24"/>
          <w:szCs w:val="24"/>
          <w:lang w:eastAsia="ru-RU"/>
        </w:rPr>
        <w:t>31.08.2023 на</w:t>
      </w:r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 xml:space="preserve"> 174 человека;</w:t>
      </w:r>
    </w:p>
    <w:p w:rsidR="00C738AD" w:rsidRPr="00C86443" w:rsidRDefault="00C738AD" w:rsidP="00C738A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>- ООО «Наш хлеб» неполная рабочая неделя с 01.05.2023 по 31.08.2023 на 20 человек.</w:t>
      </w:r>
    </w:p>
    <w:p w:rsidR="00C738AD" w:rsidRPr="00C86443" w:rsidRDefault="00C738AD" w:rsidP="00C738A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>Приказ об отпуске без сохранения заработной платы получен от ООО «Комбинат питания» с 01.06.2023 по 31.08.2023 на 45 чел.</w:t>
      </w:r>
    </w:p>
    <w:p w:rsidR="00C738AD" w:rsidRPr="00C86443" w:rsidRDefault="00C738AD" w:rsidP="00C738A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прогнозируемом периоде на 2024-2026 годов по базовому варианту предполагает улучшение ситуации на рынке труда в результате открытия предприятий, расширения производств, и, соответственно, создания новых рабочих мест. Вследствие этого, показатели уровня безработицы, коэффициенты напряженности (число незанятых граждан на одну вакансию), уровень трудоустройства будут в пределах </w:t>
      </w:r>
      <w:proofErr w:type="spellStart"/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>среднереспубликанских</w:t>
      </w:r>
      <w:proofErr w:type="spellEnd"/>
      <w:r w:rsidRPr="00C8644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751E6" w:rsidRPr="00C86443" w:rsidRDefault="003751E6" w:rsidP="00557E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E6F0C" w:rsidRPr="00C86443" w:rsidRDefault="002E4F5D" w:rsidP="00545875">
      <w:pPr>
        <w:pStyle w:val="a4"/>
        <w:spacing w:before="120" w:after="120"/>
        <w:ind w:firstLine="709"/>
        <w:jc w:val="center"/>
        <w:rPr>
          <w:sz w:val="24"/>
        </w:rPr>
      </w:pPr>
      <w:r w:rsidRPr="00C86443">
        <w:rPr>
          <w:sz w:val="24"/>
        </w:rPr>
        <w:t>Жилищное с</w:t>
      </w:r>
      <w:r w:rsidR="00FC6D84" w:rsidRPr="00C86443">
        <w:rPr>
          <w:sz w:val="24"/>
        </w:rPr>
        <w:t>т</w:t>
      </w:r>
      <w:r w:rsidRPr="00C86443">
        <w:rPr>
          <w:sz w:val="24"/>
        </w:rPr>
        <w:t>роительство</w:t>
      </w:r>
    </w:p>
    <w:p w:rsidR="00CC7B63" w:rsidRPr="00C86443" w:rsidRDefault="00CC7B63" w:rsidP="005458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6443">
        <w:rPr>
          <w:rFonts w:ascii="Times New Roman" w:hAnsi="Times New Roman"/>
          <w:sz w:val="24"/>
          <w:szCs w:val="24"/>
        </w:rPr>
        <w:t xml:space="preserve">Одним из приоритетов социально-экономического развития района Республики Башкортостан является повышение качества жизни населения, увеличение объемов строительства жилья, вследствие чего увеличение обеспеченности населения жилыми </w:t>
      </w:r>
      <w:r w:rsidRPr="00C86443">
        <w:rPr>
          <w:rFonts w:ascii="Times New Roman" w:hAnsi="Times New Roman"/>
          <w:sz w:val="24"/>
          <w:szCs w:val="24"/>
        </w:rPr>
        <w:lastRenderedPageBreak/>
        <w:t>помещениями, стимулирование развития жилищного строительства, развитие инженерной инфраструктуры.</w:t>
      </w:r>
    </w:p>
    <w:p w:rsidR="00F0520F" w:rsidRPr="00C86443" w:rsidRDefault="00F0520F" w:rsidP="005458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443">
        <w:rPr>
          <w:rFonts w:ascii="Times New Roman" w:hAnsi="Times New Roman"/>
          <w:sz w:val="24"/>
          <w:szCs w:val="24"/>
        </w:rPr>
        <w:t xml:space="preserve">По итогам 2022 года построено 5 </w:t>
      </w:r>
      <w:proofErr w:type="gramStart"/>
      <w:r w:rsidRPr="00C86443">
        <w:rPr>
          <w:rFonts w:ascii="Times New Roman" w:hAnsi="Times New Roman"/>
          <w:sz w:val="24"/>
          <w:szCs w:val="24"/>
        </w:rPr>
        <w:t>многоквартирных</w:t>
      </w:r>
      <w:proofErr w:type="gramEnd"/>
      <w:r w:rsidRPr="00C86443">
        <w:rPr>
          <w:rFonts w:ascii="Times New Roman" w:hAnsi="Times New Roman"/>
          <w:sz w:val="24"/>
          <w:szCs w:val="24"/>
        </w:rPr>
        <w:t xml:space="preserve"> жилых дома, в том числе в г.Белебей: </w:t>
      </w:r>
    </w:p>
    <w:p w:rsidR="00F0520F" w:rsidRPr="00C86443" w:rsidRDefault="00F0520F" w:rsidP="005458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443">
        <w:rPr>
          <w:rFonts w:ascii="Times New Roman" w:hAnsi="Times New Roman"/>
          <w:sz w:val="24"/>
          <w:szCs w:val="24"/>
        </w:rPr>
        <w:t xml:space="preserve">- многоквартирный жилой дом по адресу: РБ, г.Белебей, ул. В.Н. </w:t>
      </w:r>
      <w:proofErr w:type="spellStart"/>
      <w:r w:rsidRPr="00C86443">
        <w:rPr>
          <w:rFonts w:ascii="Times New Roman" w:hAnsi="Times New Roman"/>
          <w:sz w:val="24"/>
          <w:szCs w:val="24"/>
        </w:rPr>
        <w:t>Травницкого</w:t>
      </w:r>
      <w:proofErr w:type="spellEnd"/>
      <w:r w:rsidRPr="00C86443">
        <w:rPr>
          <w:rFonts w:ascii="Times New Roman" w:hAnsi="Times New Roman"/>
          <w:sz w:val="24"/>
          <w:szCs w:val="24"/>
        </w:rPr>
        <w:t xml:space="preserve">, д.6/2 (Блоки </w:t>
      </w:r>
      <w:r w:rsidR="003F6DCA" w:rsidRPr="00C86443">
        <w:rPr>
          <w:rFonts w:ascii="Times New Roman" w:hAnsi="Times New Roman"/>
          <w:sz w:val="24"/>
          <w:szCs w:val="24"/>
        </w:rPr>
        <w:t>В, Г, Д, 5</w:t>
      </w:r>
      <w:r w:rsidRPr="00C86443">
        <w:rPr>
          <w:rFonts w:ascii="Times New Roman" w:hAnsi="Times New Roman"/>
          <w:sz w:val="24"/>
          <w:szCs w:val="24"/>
        </w:rPr>
        <w:t xml:space="preserve"> этажей, 57 квартир) – общая площадь 3838,7 кв.м.;</w:t>
      </w:r>
    </w:p>
    <w:p w:rsidR="00F0520F" w:rsidRPr="00C86443" w:rsidRDefault="00F0520F" w:rsidP="005458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443">
        <w:rPr>
          <w:rFonts w:ascii="Times New Roman" w:hAnsi="Times New Roman"/>
          <w:sz w:val="24"/>
          <w:szCs w:val="24"/>
        </w:rPr>
        <w:t xml:space="preserve">- многоквартирный жилой дом по адресу: РБ, г.Белебей, ул. В.Н. </w:t>
      </w:r>
      <w:proofErr w:type="spellStart"/>
      <w:r w:rsidRPr="00C86443">
        <w:rPr>
          <w:rFonts w:ascii="Times New Roman" w:hAnsi="Times New Roman"/>
          <w:sz w:val="24"/>
          <w:szCs w:val="24"/>
        </w:rPr>
        <w:t>Травницкого</w:t>
      </w:r>
      <w:proofErr w:type="spellEnd"/>
      <w:r w:rsidRPr="00C86443">
        <w:rPr>
          <w:rFonts w:ascii="Times New Roman" w:hAnsi="Times New Roman"/>
          <w:sz w:val="24"/>
          <w:szCs w:val="24"/>
        </w:rPr>
        <w:t xml:space="preserve">, д.10 (5 этажей, 43 квартир) – общая площадь 2338,1 кв.м.;  </w:t>
      </w:r>
    </w:p>
    <w:p w:rsidR="00F0520F" w:rsidRPr="00C86443" w:rsidRDefault="00F0520F" w:rsidP="005458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443">
        <w:rPr>
          <w:rFonts w:ascii="Times New Roman" w:hAnsi="Times New Roman"/>
          <w:sz w:val="24"/>
          <w:szCs w:val="24"/>
        </w:rPr>
        <w:t>- многоквартирный жилой дом по адресу: РБ, г.Белебей,  ул. Революционеров, д.42/1 (5 этажей, 45 квартир) – общая площадь 2710,5 кв.м.;</w:t>
      </w:r>
    </w:p>
    <w:p w:rsidR="00F0520F" w:rsidRPr="00C86443" w:rsidRDefault="00F0520F" w:rsidP="005458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443">
        <w:rPr>
          <w:rFonts w:ascii="Times New Roman" w:hAnsi="Times New Roman"/>
          <w:sz w:val="24"/>
          <w:szCs w:val="24"/>
        </w:rPr>
        <w:t>- многоквартирный жилой дом по адресу: РБ, г.Белебей, ул. Революционеров, д.44/1 (5 этажей, 45 квартир) – общая площадь 2572,6 кв.м.;</w:t>
      </w:r>
    </w:p>
    <w:p w:rsidR="00F0520F" w:rsidRPr="00C86443" w:rsidRDefault="00F0520F" w:rsidP="005458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443">
        <w:rPr>
          <w:rFonts w:ascii="Times New Roman" w:hAnsi="Times New Roman"/>
          <w:sz w:val="24"/>
          <w:szCs w:val="24"/>
        </w:rPr>
        <w:t>- многоквартирный жилой дом по адресу: РБ, г.Белебей</w:t>
      </w:r>
      <w:r w:rsidR="003F6DCA" w:rsidRPr="00C86443">
        <w:rPr>
          <w:rFonts w:ascii="Times New Roman" w:hAnsi="Times New Roman"/>
          <w:sz w:val="24"/>
          <w:szCs w:val="24"/>
        </w:rPr>
        <w:t>, ул.</w:t>
      </w:r>
      <w:r w:rsidRPr="00C86443">
        <w:rPr>
          <w:rFonts w:ascii="Times New Roman" w:hAnsi="Times New Roman"/>
          <w:sz w:val="24"/>
          <w:szCs w:val="24"/>
        </w:rPr>
        <w:t xml:space="preserve"> Революционеров, д.44 </w:t>
      </w:r>
      <w:r w:rsidR="003F6DCA" w:rsidRPr="00C86443">
        <w:rPr>
          <w:rFonts w:ascii="Times New Roman" w:hAnsi="Times New Roman"/>
          <w:sz w:val="24"/>
          <w:szCs w:val="24"/>
        </w:rPr>
        <w:t>(Блоки</w:t>
      </w:r>
      <w:proofErr w:type="gramStart"/>
      <w:r w:rsidRPr="00C86443">
        <w:rPr>
          <w:rFonts w:ascii="Times New Roman" w:hAnsi="Times New Roman"/>
          <w:sz w:val="24"/>
          <w:szCs w:val="24"/>
        </w:rPr>
        <w:t xml:space="preserve"> </w:t>
      </w:r>
      <w:r w:rsidR="003F6DCA" w:rsidRPr="00C86443">
        <w:rPr>
          <w:rFonts w:ascii="Times New Roman" w:hAnsi="Times New Roman"/>
          <w:sz w:val="24"/>
          <w:szCs w:val="24"/>
        </w:rPr>
        <w:t>Е</w:t>
      </w:r>
      <w:proofErr w:type="gramEnd"/>
      <w:r w:rsidR="003F6DCA" w:rsidRPr="00C86443">
        <w:rPr>
          <w:rFonts w:ascii="Times New Roman" w:hAnsi="Times New Roman"/>
          <w:sz w:val="24"/>
          <w:szCs w:val="24"/>
        </w:rPr>
        <w:t>, Ж</w:t>
      </w:r>
      <w:r w:rsidRPr="00C86443">
        <w:rPr>
          <w:rFonts w:ascii="Times New Roman" w:hAnsi="Times New Roman"/>
          <w:sz w:val="24"/>
          <w:szCs w:val="24"/>
        </w:rPr>
        <w:t>, 5 этажей, 80 квартир) – общая площадь 4632,1 кв.м.</w:t>
      </w:r>
    </w:p>
    <w:p w:rsidR="00F0520F" w:rsidRPr="00C86443" w:rsidRDefault="00F0520F" w:rsidP="005458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443">
        <w:rPr>
          <w:rFonts w:ascii="Times New Roman" w:hAnsi="Times New Roman"/>
          <w:sz w:val="24"/>
          <w:szCs w:val="24"/>
        </w:rPr>
        <w:t xml:space="preserve">По итогам 2023 года планируется ввести в эксплуатацию 45,0 тыс. кв.м. жилья, что составляет 125 % к уровню 2022 года (35,99 тыс. кв.м. жилья). </w:t>
      </w:r>
    </w:p>
    <w:p w:rsidR="006469DB" w:rsidRPr="00C86443" w:rsidRDefault="006469DB" w:rsidP="006469D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86443">
        <w:rPr>
          <w:rFonts w:ascii="Times New Roman" w:hAnsi="Times New Roman"/>
          <w:sz w:val="24"/>
          <w:szCs w:val="24"/>
        </w:rPr>
        <w:t xml:space="preserve">За январь-ноябрь 2023 года введено в эксплуатацию </w:t>
      </w:r>
      <w:r w:rsidR="00411E6E" w:rsidRPr="00C86443">
        <w:rPr>
          <w:rFonts w:ascii="Times New Roman" w:hAnsi="Times New Roman"/>
          <w:sz w:val="24"/>
          <w:szCs w:val="24"/>
        </w:rPr>
        <w:t>21083</w:t>
      </w:r>
      <w:r w:rsidRPr="00C86443">
        <w:rPr>
          <w:rFonts w:ascii="Times New Roman" w:hAnsi="Times New Roman"/>
          <w:sz w:val="24"/>
          <w:szCs w:val="24"/>
        </w:rPr>
        <w:t xml:space="preserve"> кв.м. жилья, в том числе МКД – </w:t>
      </w:r>
      <w:r w:rsidR="00411E6E" w:rsidRPr="00C86443">
        <w:rPr>
          <w:rFonts w:ascii="Times New Roman" w:hAnsi="Times New Roman"/>
          <w:sz w:val="24"/>
          <w:szCs w:val="24"/>
        </w:rPr>
        <w:t>641,0</w:t>
      </w:r>
      <w:r w:rsidRPr="00C86443">
        <w:rPr>
          <w:rFonts w:ascii="Times New Roman" w:hAnsi="Times New Roman"/>
          <w:sz w:val="24"/>
          <w:szCs w:val="24"/>
        </w:rPr>
        <w:t xml:space="preserve"> кв.м., ИЖС – </w:t>
      </w:r>
      <w:r w:rsidR="00411E6E" w:rsidRPr="00C86443">
        <w:rPr>
          <w:rFonts w:ascii="Times New Roman" w:hAnsi="Times New Roman"/>
          <w:sz w:val="24"/>
          <w:szCs w:val="24"/>
        </w:rPr>
        <w:t>20442 кв.м., что составляет 68,8% к аналогичному периоду 2022 года (по ИЖС -98,9% к аналогичному периоду 2022 года).</w:t>
      </w:r>
    </w:p>
    <w:p w:rsidR="00D37489" w:rsidRPr="00C86443" w:rsidRDefault="00F0520F" w:rsidP="005458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443">
        <w:rPr>
          <w:rFonts w:ascii="Times New Roman" w:hAnsi="Times New Roman"/>
          <w:sz w:val="24"/>
          <w:szCs w:val="24"/>
        </w:rPr>
        <w:t>На территории городского поселения город Белебей продолжается строительство многоквартирных домов в микрорайонах многоэтажной жилой застройки № 26 и № 29</w:t>
      </w:r>
      <w:r w:rsidR="006469DB" w:rsidRPr="00C86443">
        <w:rPr>
          <w:rFonts w:ascii="Times New Roman" w:hAnsi="Times New Roman"/>
          <w:sz w:val="24"/>
          <w:szCs w:val="24"/>
        </w:rPr>
        <w:t xml:space="preserve">, ведется строительство двух многоквартирных жилых домов. </w:t>
      </w:r>
    </w:p>
    <w:p w:rsidR="003F6DCA" w:rsidRPr="00C86443" w:rsidRDefault="00D37489" w:rsidP="003F6D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443">
        <w:rPr>
          <w:rFonts w:ascii="Times New Roman" w:hAnsi="Times New Roman"/>
          <w:sz w:val="24"/>
          <w:szCs w:val="24"/>
        </w:rPr>
        <w:t xml:space="preserve">Малоэтажное жилищное строительство по-прежнему остаётся приоритетным направлением развития жилищной сферы. </w:t>
      </w:r>
    </w:p>
    <w:p w:rsidR="003F6DCA" w:rsidRPr="00C86443" w:rsidRDefault="003F6DCA" w:rsidP="003F6D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443">
        <w:rPr>
          <w:rFonts w:ascii="Times New Roman" w:hAnsi="Times New Roman"/>
          <w:sz w:val="24"/>
          <w:szCs w:val="24"/>
        </w:rPr>
        <w:t>В 2024 году планируется ввести в эксплуатацию МКД по следующим адресам:</w:t>
      </w:r>
    </w:p>
    <w:p w:rsidR="003F6DCA" w:rsidRPr="00C86443" w:rsidRDefault="003F6DCA" w:rsidP="003F6D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6443">
        <w:rPr>
          <w:rFonts w:ascii="Times New Roman" w:hAnsi="Times New Roman"/>
          <w:sz w:val="24"/>
          <w:szCs w:val="24"/>
        </w:rPr>
        <w:t xml:space="preserve">-  жилой дом № 4 по ул. </w:t>
      </w:r>
      <w:proofErr w:type="spellStart"/>
      <w:r w:rsidRPr="00C86443">
        <w:rPr>
          <w:rFonts w:ascii="Times New Roman" w:hAnsi="Times New Roman"/>
          <w:sz w:val="24"/>
          <w:szCs w:val="24"/>
        </w:rPr>
        <w:t>В.Н.Травницкого</w:t>
      </w:r>
      <w:proofErr w:type="spellEnd"/>
      <w:r w:rsidRPr="00C8644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C86443">
        <w:rPr>
          <w:rFonts w:ascii="Times New Roman" w:hAnsi="Times New Roman"/>
          <w:sz w:val="24"/>
          <w:szCs w:val="24"/>
        </w:rPr>
        <w:t>мкр</w:t>
      </w:r>
      <w:proofErr w:type="spellEnd"/>
      <w:r w:rsidRPr="00C86443">
        <w:rPr>
          <w:rFonts w:ascii="Times New Roman" w:hAnsi="Times New Roman"/>
          <w:sz w:val="24"/>
          <w:szCs w:val="24"/>
        </w:rPr>
        <w:t>. 26 в г. Белебей, первая пусковая очередь (блоки А, Б) общей площадью 4747 кв.м.;</w:t>
      </w:r>
    </w:p>
    <w:p w:rsidR="003F6DCA" w:rsidRPr="00C86443" w:rsidRDefault="003F6DCA" w:rsidP="003F6D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6443">
        <w:rPr>
          <w:rFonts w:ascii="Times New Roman" w:hAnsi="Times New Roman"/>
          <w:sz w:val="24"/>
          <w:szCs w:val="24"/>
        </w:rPr>
        <w:t>- жилой дом по ул. Революционеров, 44 в г. Белебей (блоки</w:t>
      </w:r>
      <w:proofErr w:type="gramStart"/>
      <w:r w:rsidRPr="00C86443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C86443">
        <w:rPr>
          <w:rFonts w:ascii="Times New Roman" w:hAnsi="Times New Roman"/>
          <w:sz w:val="24"/>
          <w:szCs w:val="24"/>
        </w:rPr>
        <w:t>, Б) площадью 3500 кв.м.</w:t>
      </w:r>
    </w:p>
    <w:p w:rsidR="00D37489" w:rsidRPr="00C86443" w:rsidRDefault="00D37489" w:rsidP="005458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6443">
        <w:rPr>
          <w:rFonts w:ascii="Times New Roman" w:hAnsi="Times New Roman"/>
          <w:sz w:val="24"/>
          <w:szCs w:val="24"/>
        </w:rPr>
        <w:t>В целях индивидуального жилищного строительства застраиваются микрорайоны индивидуального жилищного строительства «</w:t>
      </w:r>
      <w:proofErr w:type="spellStart"/>
      <w:r w:rsidRPr="00C86443">
        <w:rPr>
          <w:rFonts w:ascii="Times New Roman" w:hAnsi="Times New Roman"/>
          <w:sz w:val="24"/>
          <w:szCs w:val="24"/>
        </w:rPr>
        <w:t>Чайковка</w:t>
      </w:r>
      <w:proofErr w:type="spellEnd"/>
      <w:r w:rsidRPr="00C86443">
        <w:rPr>
          <w:rFonts w:ascii="Times New Roman" w:hAnsi="Times New Roman"/>
          <w:sz w:val="24"/>
          <w:szCs w:val="24"/>
        </w:rPr>
        <w:t xml:space="preserve">» площадью </w:t>
      </w:r>
      <w:smartTag w:uri="urn:schemas-microsoft-com:office:smarttags" w:element="metricconverter">
        <w:smartTagPr>
          <w:attr w:name="ProductID" w:val="237,0 га"/>
        </w:smartTagPr>
        <w:r w:rsidRPr="00C86443">
          <w:rPr>
            <w:rFonts w:ascii="Times New Roman" w:hAnsi="Times New Roman"/>
            <w:sz w:val="24"/>
            <w:szCs w:val="24"/>
          </w:rPr>
          <w:t>237,0 га</w:t>
        </w:r>
      </w:smartTag>
      <w:r w:rsidRPr="00C86443">
        <w:rPr>
          <w:rFonts w:ascii="Times New Roman" w:hAnsi="Times New Roman"/>
          <w:sz w:val="24"/>
          <w:szCs w:val="24"/>
        </w:rPr>
        <w:t xml:space="preserve"> – 1140 участков; «Надежда (1 очередь) площадью </w:t>
      </w:r>
      <w:smartTag w:uri="urn:schemas-microsoft-com:office:smarttags" w:element="metricconverter">
        <w:smartTagPr>
          <w:attr w:name="ProductID" w:val="170,5 га"/>
        </w:smartTagPr>
        <w:r w:rsidRPr="00C86443">
          <w:rPr>
            <w:rFonts w:ascii="Times New Roman" w:hAnsi="Times New Roman"/>
            <w:sz w:val="24"/>
            <w:szCs w:val="24"/>
          </w:rPr>
          <w:t>170,5 га</w:t>
        </w:r>
      </w:smartTag>
      <w:r w:rsidRPr="00C86443">
        <w:rPr>
          <w:rFonts w:ascii="Times New Roman" w:hAnsi="Times New Roman"/>
          <w:sz w:val="24"/>
          <w:szCs w:val="24"/>
        </w:rPr>
        <w:t xml:space="preserve"> – 615 участков, «Ласточка» (</w:t>
      </w:r>
      <w:r w:rsidRPr="00C86443">
        <w:rPr>
          <w:rFonts w:ascii="Times New Roman" w:hAnsi="Times New Roman"/>
          <w:sz w:val="24"/>
          <w:szCs w:val="24"/>
          <w:lang w:val="en-US"/>
        </w:rPr>
        <w:t>III</w:t>
      </w:r>
      <w:r w:rsidRPr="00C86443">
        <w:rPr>
          <w:rFonts w:ascii="Times New Roman" w:hAnsi="Times New Roman"/>
          <w:sz w:val="24"/>
          <w:szCs w:val="24"/>
        </w:rPr>
        <w:t xml:space="preserve"> очередь</w:t>
      </w:r>
      <w:r w:rsidR="003F6DCA" w:rsidRPr="00C86443">
        <w:rPr>
          <w:rFonts w:ascii="Times New Roman" w:hAnsi="Times New Roman"/>
          <w:sz w:val="24"/>
          <w:szCs w:val="24"/>
        </w:rPr>
        <w:t>») площадью</w:t>
      </w:r>
      <w:r w:rsidRPr="00C86443">
        <w:rPr>
          <w:rFonts w:ascii="Times New Roman" w:hAnsi="Times New Roman"/>
          <w:sz w:val="24"/>
          <w:szCs w:val="24"/>
        </w:rPr>
        <w:t xml:space="preserve"> 8,6 га - 54 участка, «Северный» Приютово, «Западный» Приютово, «Энергетик» Аксаково. </w:t>
      </w:r>
      <w:proofErr w:type="gramEnd"/>
    </w:p>
    <w:p w:rsidR="003F6DCA" w:rsidRPr="00C86443" w:rsidRDefault="003F6DCA" w:rsidP="003F6DCA">
      <w:pPr>
        <w:widowControl w:val="0"/>
        <w:suppressAutoHyphens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8644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Выполнены проектные работы по сетям газоснабжения, водоснабжения и </w:t>
      </w:r>
      <w:proofErr w:type="spellStart"/>
      <w:r w:rsidRPr="00C86443">
        <w:rPr>
          <w:rFonts w:ascii="Times New Roman" w:eastAsia="Calibri" w:hAnsi="Times New Roman" w:cs="Times New Roman"/>
          <w:sz w:val="24"/>
          <w:szCs w:val="24"/>
          <w:lang w:eastAsia="ar-SA"/>
        </w:rPr>
        <w:t>повысительной</w:t>
      </w:r>
      <w:proofErr w:type="spellEnd"/>
      <w:r w:rsidRPr="00C8644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насосной станции водоснабжения в микрорайоне «Надежда-1» г.Белебей, получены положительные заключения </w:t>
      </w:r>
      <w:proofErr w:type="spellStart"/>
      <w:r w:rsidRPr="00C86443">
        <w:rPr>
          <w:rFonts w:ascii="Times New Roman" w:eastAsia="Calibri" w:hAnsi="Times New Roman" w:cs="Times New Roman"/>
          <w:sz w:val="24"/>
          <w:szCs w:val="24"/>
          <w:lang w:eastAsia="ar-SA"/>
        </w:rPr>
        <w:t>Главгосэкспертизы</w:t>
      </w:r>
      <w:proofErr w:type="spellEnd"/>
      <w:r w:rsidRPr="00C86443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CC7B63" w:rsidRPr="00C86443" w:rsidRDefault="00CC7B63" w:rsidP="005458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443">
        <w:rPr>
          <w:rFonts w:ascii="Times New Roman" w:hAnsi="Times New Roman"/>
          <w:sz w:val="24"/>
          <w:szCs w:val="24"/>
        </w:rPr>
        <w:t xml:space="preserve">Для размещения многоквартирных домов в г. Белебее разработан проект планировки и межевания территорий микрорайонов комплексной застройки по ул. </w:t>
      </w:r>
      <w:proofErr w:type="gramStart"/>
      <w:r w:rsidRPr="00C86443">
        <w:rPr>
          <w:rFonts w:ascii="Times New Roman" w:hAnsi="Times New Roman"/>
          <w:sz w:val="24"/>
          <w:szCs w:val="24"/>
        </w:rPr>
        <w:t>Коммунистическая</w:t>
      </w:r>
      <w:proofErr w:type="gramEnd"/>
      <w:r w:rsidRPr="00C86443">
        <w:rPr>
          <w:rFonts w:ascii="Times New Roman" w:hAnsi="Times New Roman"/>
          <w:sz w:val="24"/>
          <w:szCs w:val="24"/>
        </w:rPr>
        <w:t>, 115, площадью 45,0 тыс.кв. метров.</w:t>
      </w:r>
    </w:p>
    <w:p w:rsidR="002818A6" w:rsidRPr="00C86443" w:rsidRDefault="00504BE9" w:rsidP="005458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443">
        <w:rPr>
          <w:rFonts w:ascii="Times New Roman" w:hAnsi="Times New Roman"/>
          <w:sz w:val="24"/>
          <w:szCs w:val="24"/>
        </w:rPr>
        <w:t>Законом Республики Башкортостан от 26 мая 2022 года «Об изменениях в административно-территориальном устройстве Республики Башкортостан и изменении границ отдельных муниципальных обр</w:t>
      </w:r>
      <w:r w:rsidR="003F6DCA" w:rsidRPr="00C86443">
        <w:rPr>
          <w:rFonts w:ascii="Times New Roman" w:hAnsi="Times New Roman"/>
          <w:sz w:val="24"/>
          <w:szCs w:val="24"/>
        </w:rPr>
        <w:t xml:space="preserve">азований в </w:t>
      </w:r>
      <w:proofErr w:type="spellStart"/>
      <w:r w:rsidR="003F6DCA" w:rsidRPr="00C86443">
        <w:rPr>
          <w:rFonts w:ascii="Times New Roman" w:hAnsi="Times New Roman"/>
          <w:sz w:val="24"/>
          <w:szCs w:val="24"/>
        </w:rPr>
        <w:t>Белебеевском</w:t>
      </w:r>
      <w:proofErr w:type="spellEnd"/>
      <w:r w:rsidR="003F6DCA" w:rsidRPr="00C86443">
        <w:rPr>
          <w:rFonts w:ascii="Times New Roman" w:hAnsi="Times New Roman"/>
          <w:sz w:val="24"/>
          <w:szCs w:val="24"/>
        </w:rPr>
        <w:t xml:space="preserve"> районе Р</w:t>
      </w:r>
      <w:r w:rsidRPr="00C86443">
        <w:rPr>
          <w:rFonts w:ascii="Times New Roman" w:hAnsi="Times New Roman"/>
          <w:sz w:val="24"/>
          <w:szCs w:val="24"/>
        </w:rPr>
        <w:t xml:space="preserve">еспублики Башкортостан» расширены административные границы городского поселения г. Белебей. Это позволит развивать новые микрорайоны многоэтажной и индивидуальной жилой застройки. Вышеуказанные мероприятия позволят увеличить объемы ввода жилья на территории Белебеевского района.  </w:t>
      </w:r>
    </w:p>
    <w:p w:rsidR="000D2382" w:rsidRPr="00C86443" w:rsidRDefault="000D2382" w:rsidP="005458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443">
        <w:rPr>
          <w:rFonts w:ascii="Times New Roman" w:hAnsi="Times New Roman"/>
          <w:sz w:val="24"/>
          <w:szCs w:val="24"/>
        </w:rPr>
        <w:t xml:space="preserve">В соответствии с муниципальной целевой программой "Стимулирование развития жилищного строительства на территории муниципального района Белебеевский район РБ" в </w:t>
      </w:r>
      <w:r w:rsidR="003F6DCA" w:rsidRPr="00C86443">
        <w:rPr>
          <w:rFonts w:ascii="Times New Roman" w:hAnsi="Times New Roman"/>
          <w:sz w:val="24"/>
          <w:szCs w:val="24"/>
        </w:rPr>
        <w:t xml:space="preserve">2022 </w:t>
      </w:r>
      <w:r w:rsidRPr="00C86443">
        <w:rPr>
          <w:rFonts w:ascii="Times New Roman" w:hAnsi="Times New Roman"/>
          <w:sz w:val="24"/>
          <w:szCs w:val="24"/>
        </w:rPr>
        <w:t xml:space="preserve">году </w:t>
      </w:r>
      <w:r w:rsidR="003F6DCA" w:rsidRPr="00C86443">
        <w:rPr>
          <w:rFonts w:ascii="Times New Roman" w:hAnsi="Times New Roman"/>
          <w:sz w:val="24"/>
          <w:szCs w:val="24"/>
        </w:rPr>
        <w:t>завершены работы</w:t>
      </w:r>
      <w:r w:rsidRPr="00C86443">
        <w:rPr>
          <w:rFonts w:ascii="Times New Roman" w:hAnsi="Times New Roman"/>
          <w:sz w:val="24"/>
          <w:szCs w:val="24"/>
        </w:rPr>
        <w:t xml:space="preserve"> по внесению изменений в Правила землепользования и застройки городского </w:t>
      </w:r>
      <w:r w:rsidR="003F6DCA" w:rsidRPr="00C86443">
        <w:rPr>
          <w:rFonts w:ascii="Times New Roman" w:hAnsi="Times New Roman"/>
          <w:sz w:val="24"/>
          <w:szCs w:val="24"/>
        </w:rPr>
        <w:t>поселения г.</w:t>
      </w:r>
      <w:r w:rsidRPr="00C86443">
        <w:rPr>
          <w:rFonts w:ascii="Times New Roman" w:hAnsi="Times New Roman"/>
          <w:sz w:val="24"/>
          <w:szCs w:val="24"/>
        </w:rPr>
        <w:t xml:space="preserve"> Белебей. </w:t>
      </w:r>
    </w:p>
    <w:p w:rsidR="00D37489" w:rsidRPr="00C86443" w:rsidRDefault="00D37489" w:rsidP="00545875">
      <w:pPr>
        <w:widowControl w:val="0"/>
        <w:suppressAutoHyphens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8644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Одной из основных причин недостаточного объема ввода жилья является отсутствие сетей инженерного обеспечения микрорайонов многоэтажной и индивидуальной  жилой застройки. </w:t>
      </w:r>
    </w:p>
    <w:p w:rsidR="00D37489" w:rsidRPr="00C86443" w:rsidRDefault="00D37489" w:rsidP="00545875">
      <w:pPr>
        <w:pStyle w:val="11"/>
        <w:shd w:val="clear" w:color="auto" w:fill="auto"/>
        <w:tabs>
          <w:tab w:val="left" w:pos="905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6443">
        <w:rPr>
          <w:rFonts w:ascii="Times New Roman" w:hAnsi="Times New Roman" w:cs="Times New Roman"/>
          <w:sz w:val="24"/>
          <w:szCs w:val="24"/>
        </w:rPr>
        <w:t>Для обеспечения микрорайонов индивидуальной застройки питьевой водой по объекту: «Комплекс сооружений водозабора для водоснабжения г</w:t>
      </w:r>
      <w:proofErr w:type="gramStart"/>
      <w:r w:rsidRPr="00C8644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C86443">
        <w:rPr>
          <w:rFonts w:ascii="Times New Roman" w:hAnsi="Times New Roman" w:cs="Times New Roman"/>
          <w:sz w:val="24"/>
          <w:szCs w:val="24"/>
        </w:rPr>
        <w:t>елебея на базе источника хвостовой части Комсомольского пруда ("</w:t>
      </w:r>
      <w:proofErr w:type="spellStart"/>
      <w:r w:rsidRPr="00C86443">
        <w:rPr>
          <w:rFonts w:ascii="Times New Roman" w:hAnsi="Times New Roman" w:cs="Times New Roman"/>
          <w:sz w:val="24"/>
          <w:szCs w:val="24"/>
        </w:rPr>
        <w:t>Усень</w:t>
      </w:r>
      <w:proofErr w:type="spellEnd"/>
      <w:r w:rsidRPr="00C86443">
        <w:rPr>
          <w:rFonts w:ascii="Times New Roman" w:hAnsi="Times New Roman" w:cs="Times New Roman"/>
          <w:sz w:val="24"/>
          <w:szCs w:val="24"/>
        </w:rPr>
        <w:t xml:space="preserve">")» и завершения реализации объекта необходимо </w:t>
      </w:r>
      <w:r w:rsidRPr="00C86443">
        <w:rPr>
          <w:rFonts w:ascii="Times New Roman" w:hAnsi="Times New Roman" w:cs="Times New Roman"/>
          <w:sz w:val="24"/>
          <w:szCs w:val="24"/>
        </w:rPr>
        <w:lastRenderedPageBreak/>
        <w:t>определить финансирование III этапа по строительству водозабора «Усень-5» производительностью 8,0 тыс. куб. м/сутки, водовода от водозабора «Уснь-5» до насосной станции II подъема протяженностью 4,1 км, автоматизированной системы управления объектов водоснабжения «Усень-1,2,3,5» и насосной станции II подъема.</w:t>
      </w:r>
    </w:p>
    <w:p w:rsidR="00D37489" w:rsidRPr="00C86443" w:rsidRDefault="00D37489" w:rsidP="00545875">
      <w:pPr>
        <w:widowControl w:val="0"/>
        <w:suppressAutoHyphens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8644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Получено положительное заключение ГАУ Управление государственной экспертизы РБ по объекту: «Водоснабжение микрорайона индивидуальной застройки «Северный –1», «Северный – 2» в ГП </w:t>
      </w:r>
      <w:r w:rsidR="00557EBA" w:rsidRPr="00C86443">
        <w:rPr>
          <w:rFonts w:ascii="Times New Roman" w:eastAsia="Calibri" w:hAnsi="Times New Roman" w:cs="Times New Roman"/>
          <w:sz w:val="24"/>
          <w:szCs w:val="24"/>
          <w:lang w:eastAsia="ar-SA"/>
        </w:rPr>
        <w:t>г. Белебей</w:t>
      </w:r>
      <w:r w:rsidRPr="00C8644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МР Белебеевский район РБ»,  </w:t>
      </w:r>
      <w:bookmarkStart w:id="0" w:name="_GoBack"/>
      <w:bookmarkEnd w:id="0"/>
      <w:r w:rsidRPr="00C86443">
        <w:rPr>
          <w:rFonts w:ascii="Times New Roman" w:eastAsia="Calibri" w:hAnsi="Times New Roman" w:cs="Times New Roman"/>
          <w:sz w:val="24"/>
          <w:szCs w:val="24"/>
          <w:lang w:eastAsia="ar-SA"/>
        </w:rPr>
        <w:t>«Строительство водовода по ул. Дружба, ул. Новая, ул. 60 лет СССР  в ГП г. Белебей». Заявки о включении в РАИП направлены в Минстрой РБ.</w:t>
      </w:r>
    </w:p>
    <w:p w:rsidR="00760A04" w:rsidRPr="00C86443" w:rsidRDefault="00760A04" w:rsidP="005458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6443">
        <w:rPr>
          <w:rFonts w:ascii="Times New Roman" w:hAnsi="Times New Roman"/>
          <w:sz w:val="24"/>
          <w:szCs w:val="24"/>
        </w:rPr>
        <w:t xml:space="preserve">Благодаря всем вышеперечисленным мероприятиям к 2025 году планируется увеличение ежегодного ввода жилья по сравнению с 2022 годом на 76,5 </w:t>
      </w:r>
      <w:r w:rsidR="003F6DCA" w:rsidRPr="00C86443">
        <w:rPr>
          <w:rFonts w:ascii="Times New Roman" w:hAnsi="Times New Roman"/>
          <w:sz w:val="24"/>
          <w:szCs w:val="24"/>
        </w:rPr>
        <w:t>% (</w:t>
      </w:r>
      <w:r w:rsidRPr="00C86443">
        <w:rPr>
          <w:rFonts w:ascii="Times New Roman" w:hAnsi="Times New Roman"/>
          <w:sz w:val="24"/>
          <w:szCs w:val="24"/>
        </w:rPr>
        <w:t xml:space="preserve">63,525 тыс. </w:t>
      </w:r>
      <w:r w:rsidR="003F6DCA" w:rsidRPr="00C86443">
        <w:rPr>
          <w:rFonts w:ascii="Times New Roman" w:hAnsi="Times New Roman"/>
          <w:sz w:val="24"/>
          <w:szCs w:val="24"/>
        </w:rPr>
        <w:t>кв. м</w:t>
      </w:r>
      <w:r w:rsidRPr="00C86443">
        <w:rPr>
          <w:rFonts w:ascii="Times New Roman" w:hAnsi="Times New Roman"/>
          <w:sz w:val="24"/>
          <w:szCs w:val="24"/>
        </w:rPr>
        <w:t xml:space="preserve"> в 2025 году). При этом общая площадь жилых помещений, приходящаяся на 1 жителя с учётом </w:t>
      </w:r>
      <w:r w:rsidR="003F6DCA" w:rsidRPr="00C86443">
        <w:rPr>
          <w:rFonts w:ascii="Times New Roman" w:hAnsi="Times New Roman"/>
          <w:sz w:val="24"/>
          <w:szCs w:val="24"/>
        </w:rPr>
        <w:t xml:space="preserve">демографических показателей, </w:t>
      </w:r>
      <w:proofErr w:type="gramStart"/>
      <w:r w:rsidR="003F6DCA" w:rsidRPr="00C86443">
        <w:rPr>
          <w:rFonts w:ascii="Times New Roman" w:hAnsi="Times New Roman"/>
          <w:sz w:val="24"/>
          <w:szCs w:val="24"/>
        </w:rPr>
        <w:t>вырастит на 4,1</w:t>
      </w:r>
      <w:r w:rsidRPr="00C86443">
        <w:rPr>
          <w:rFonts w:ascii="Times New Roman" w:hAnsi="Times New Roman"/>
          <w:sz w:val="24"/>
          <w:szCs w:val="24"/>
        </w:rPr>
        <w:t xml:space="preserve"> % и составит</w:t>
      </w:r>
      <w:proofErr w:type="gramEnd"/>
      <w:r w:rsidRPr="00C86443">
        <w:rPr>
          <w:rFonts w:ascii="Times New Roman" w:hAnsi="Times New Roman"/>
          <w:sz w:val="24"/>
          <w:szCs w:val="24"/>
        </w:rPr>
        <w:t xml:space="preserve"> к концу 2025 года 27,6 кв.м.</w:t>
      </w:r>
    </w:p>
    <w:p w:rsidR="002818A6" w:rsidRPr="00C86443" w:rsidRDefault="002818A6" w:rsidP="00545875">
      <w:pPr>
        <w:pStyle w:val="a4"/>
        <w:ind w:firstLine="709"/>
        <w:jc w:val="both"/>
        <w:rPr>
          <w:sz w:val="24"/>
        </w:rPr>
      </w:pPr>
    </w:p>
    <w:p w:rsidR="00545875" w:rsidRDefault="00545875" w:rsidP="003F6DCA">
      <w:pPr>
        <w:pStyle w:val="a4"/>
        <w:jc w:val="both"/>
        <w:rPr>
          <w:sz w:val="24"/>
        </w:rPr>
      </w:pPr>
    </w:p>
    <w:p w:rsidR="005C21DD" w:rsidRDefault="005C21DD" w:rsidP="003F6DCA">
      <w:pPr>
        <w:pStyle w:val="a4"/>
        <w:jc w:val="both"/>
        <w:rPr>
          <w:sz w:val="24"/>
        </w:rPr>
      </w:pPr>
    </w:p>
    <w:p w:rsidR="005C21DD" w:rsidRPr="00C86443" w:rsidRDefault="005C21DD" w:rsidP="003F6DCA">
      <w:pPr>
        <w:pStyle w:val="a4"/>
        <w:jc w:val="both"/>
        <w:rPr>
          <w:sz w:val="24"/>
        </w:rPr>
      </w:pPr>
    </w:p>
    <w:p w:rsidR="003751E6" w:rsidRPr="00C86443" w:rsidRDefault="003751E6" w:rsidP="003F6DCA">
      <w:pPr>
        <w:pStyle w:val="a4"/>
        <w:jc w:val="both"/>
        <w:rPr>
          <w:sz w:val="24"/>
        </w:rPr>
      </w:pPr>
    </w:p>
    <w:p w:rsidR="00315CE3" w:rsidRPr="00C86443" w:rsidRDefault="003F6DCA" w:rsidP="00545875">
      <w:pPr>
        <w:pStyle w:val="a4"/>
        <w:jc w:val="both"/>
        <w:rPr>
          <w:sz w:val="24"/>
        </w:rPr>
      </w:pPr>
      <w:r w:rsidRPr="00C86443">
        <w:rPr>
          <w:sz w:val="24"/>
        </w:rPr>
        <w:t>Заместитель главы</w:t>
      </w:r>
      <w:r w:rsidR="00315CE3" w:rsidRPr="00C86443">
        <w:rPr>
          <w:sz w:val="24"/>
        </w:rPr>
        <w:t xml:space="preserve"> Администрации                                                             </w:t>
      </w:r>
      <w:r w:rsidR="00AA45FA" w:rsidRPr="00C86443">
        <w:rPr>
          <w:sz w:val="24"/>
        </w:rPr>
        <w:t xml:space="preserve">  </w:t>
      </w:r>
      <w:r w:rsidR="009F61F0" w:rsidRPr="00C86443">
        <w:rPr>
          <w:sz w:val="24"/>
        </w:rPr>
        <w:t xml:space="preserve">  </w:t>
      </w:r>
      <w:r w:rsidR="009F61F0" w:rsidRPr="00C86443">
        <w:rPr>
          <w:sz w:val="24"/>
        </w:rPr>
        <w:tab/>
        <w:t xml:space="preserve">         </w:t>
      </w:r>
      <w:r w:rsidR="007C538A">
        <w:rPr>
          <w:sz w:val="24"/>
        </w:rPr>
        <w:t>Ф.Ш.Булатов</w:t>
      </w:r>
    </w:p>
    <w:p w:rsidR="00D37489" w:rsidRPr="00C86443" w:rsidRDefault="00D37489" w:rsidP="00545875">
      <w:pPr>
        <w:pStyle w:val="a4"/>
        <w:jc w:val="both"/>
        <w:rPr>
          <w:sz w:val="24"/>
        </w:rPr>
      </w:pPr>
    </w:p>
    <w:p w:rsidR="003F6DCA" w:rsidRPr="00C86443" w:rsidRDefault="003F6DCA" w:rsidP="00545875">
      <w:pPr>
        <w:pStyle w:val="a4"/>
        <w:jc w:val="both"/>
        <w:rPr>
          <w:sz w:val="24"/>
        </w:rPr>
      </w:pPr>
    </w:p>
    <w:p w:rsidR="00FA40F5" w:rsidRPr="00C86443" w:rsidRDefault="00FA40F5" w:rsidP="00545875">
      <w:pPr>
        <w:pStyle w:val="a4"/>
        <w:jc w:val="both"/>
        <w:rPr>
          <w:sz w:val="24"/>
        </w:rPr>
      </w:pPr>
    </w:p>
    <w:p w:rsidR="00FA40F5" w:rsidRPr="00C86443" w:rsidRDefault="00FA40F5" w:rsidP="00545875">
      <w:pPr>
        <w:pStyle w:val="a4"/>
        <w:jc w:val="both"/>
        <w:rPr>
          <w:sz w:val="24"/>
        </w:rPr>
      </w:pPr>
    </w:p>
    <w:p w:rsidR="00FA40F5" w:rsidRPr="00C86443" w:rsidRDefault="00FA40F5" w:rsidP="00545875">
      <w:pPr>
        <w:pStyle w:val="a4"/>
        <w:jc w:val="both"/>
        <w:rPr>
          <w:sz w:val="24"/>
        </w:rPr>
      </w:pPr>
    </w:p>
    <w:p w:rsidR="00D37489" w:rsidRPr="00C86443" w:rsidRDefault="00D37489" w:rsidP="00545875">
      <w:pPr>
        <w:pStyle w:val="a4"/>
        <w:jc w:val="both"/>
        <w:rPr>
          <w:sz w:val="24"/>
        </w:rPr>
      </w:pPr>
    </w:p>
    <w:p w:rsidR="00C5257F" w:rsidRPr="00C86443" w:rsidRDefault="00C5257F" w:rsidP="00545875">
      <w:pPr>
        <w:pStyle w:val="a4"/>
        <w:jc w:val="both"/>
        <w:rPr>
          <w:sz w:val="24"/>
        </w:rPr>
      </w:pPr>
    </w:p>
    <w:p w:rsidR="00C5257F" w:rsidRPr="00C86443" w:rsidRDefault="00C5257F" w:rsidP="00545875">
      <w:pPr>
        <w:pStyle w:val="a4"/>
        <w:jc w:val="both"/>
        <w:rPr>
          <w:sz w:val="24"/>
        </w:rPr>
      </w:pPr>
    </w:p>
    <w:p w:rsidR="00C5257F" w:rsidRPr="00C86443" w:rsidRDefault="00C5257F" w:rsidP="00545875">
      <w:pPr>
        <w:pStyle w:val="a4"/>
        <w:jc w:val="both"/>
        <w:rPr>
          <w:sz w:val="24"/>
        </w:rPr>
      </w:pPr>
    </w:p>
    <w:p w:rsidR="00C5257F" w:rsidRPr="00C86443" w:rsidRDefault="00C5257F" w:rsidP="00545875">
      <w:pPr>
        <w:pStyle w:val="a4"/>
        <w:jc w:val="both"/>
        <w:rPr>
          <w:sz w:val="24"/>
        </w:rPr>
      </w:pPr>
    </w:p>
    <w:p w:rsidR="00C5257F" w:rsidRPr="00C86443" w:rsidRDefault="00C5257F" w:rsidP="00545875">
      <w:pPr>
        <w:pStyle w:val="a4"/>
        <w:jc w:val="both"/>
        <w:rPr>
          <w:sz w:val="24"/>
        </w:rPr>
      </w:pPr>
    </w:p>
    <w:p w:rsidR="00C5257F" w:rsidRPr="00C86443" w:rsidRDefault="00C5257F" w:rsidP="00545875">
      <w:pPr>
        <w:pStyle w:val="a4"/>
        <w:jc w:val="both"/>
        <w:rPr>
          <w:sz w:val="24"/>
        </w:rPr>
      </w:pPr>
    </w:p>
    <w:p w:rsidR="00C5257F" w:rsidRPr="00C86443" w:rsidRDefault="005C21DD" w:rsidP="00545875">
      <w:pPr>
        <w:pStyle w:val="a4"/>
        <w:jc w:val="both"/>
        <w:rPr>
          <w:sz w:val="24"/>
        </w:rPr>
      </w:pPr>
      <w:r>
        <w:rPr>
          <w:sz w:val="24"/>
        </w:rPr>
        <w:t xml:space="preserve"> </w:t>
      </w:r>
    </w:p>
    <w:p w:rsidR="00C5257F" w:rsidRPr="00C86443" w:rsidRDefault="00C5257F" w:rsidP="00545875">
      <w:pPr>
        <w:pStyle w:val="a4"/>
        <w:jc w:val="both"/>
        <w:rPr>
          <w:sz w:val="24"/>
        </w:rPr>
      </w:pPr>
    </w:p>
    <w:p w:rsidR="00C5257F" w:rsidRPr="00C86443" w:rsidRDefault="00C5257F" w:rsidP="00545875">
      <w:pPr>
        <w:pStyle w:val="a4"/>
        <w:jc w:val="both"/>
        <w:rPr>
          <w:sz w:val="24"/>
        </w:rPr>
      </w:pPr>
    </w:p>
    <w:p w:rsidR="00C5257F" w:rsidRPr="00C86443" w:rsidRDefault="00C5257F" w:rsidP="00545875">
      <w:pPr>
        <w:pStyle w:val="a4"/>
        <w:jc w:val="both"/>
        <w:rPr>
          <w:sz w:val="24"/>
        </w:rPr>
      </w:pPr>
    </w:p>
    <w:p w:rsidR="00C5257F" w:rsidRPr="00C86443" w:rsidRDefault="00C5257F" w:rsidP="00545875">
      <w:pPr>
        <w:pStyle w:val="a4"/>
        <w:jc w:val="both"/>
        <w:rPr>
          <w:sz w:val="24"/>
        </w:rPr>
      </w:pPr>
    </w:p>
    <w:p w:rsidR="00E75442" w:rsidRPr="00C86443" w:rsidRDefault="00E75442" w:rsidP="00545875">
      <w:pPr>
        <w:pStyle w:val="a4"/>
        <w:jc w:val="both"/>
        <w:rPr>
          <w:rFonts w:eastAsiaTheme="minorEastAsia" w:cstheme="minorBidi"/>
          <w:sz w:val="20"/>
          <w:szCs w:val="20"/>
        </w:rPr>
      </w:pPr>
    </w:p>
    <w:p w:rsidR="00E75442" w:rsidRPr="00C86443" w:rsidRDefault="00E75442" w:rsidP="00545875">
      <w:pPr>
        <w:pStyle w:val="a4"/>
        <w:jc w:val="both"/>
        <w:rPr>
          <w:rFonts w:eastAsiaTheme="minorEastAsia" w:cstheme="minorBidi"/>
          <w:sz w:val="20"/>
          <w:szCs w:val="20"/>
        </w:rPr>
      </w:pPr>
    </w:p>
    <w:p w:rsidR="00E75442" w:rsidRPr="00C86443" w:rsidRDefault="00E75442" w:rsidP="00545875">
      <w:pPr>
        <w:pStyle w:val="a4"/>
        <w:jc w:val="both"/>
        <w:rPr>
          <w:rFonts w:eastAsiaTheme="minorEastAsia" w:cstheme="minorBidi"/>
          <w:sz w:val="20"/>
          <w:szCs w:val="20"/>
        </w:rPr>
      </w:pPr>
    </w:p>
    <w:p w:rsidR="00E75442" w:rsidRPr="00C86443" w:rsidRDefault="00E75442" w:rsidP="00545875">
      <w:pPr>
        <w:pStyle w:val="a4"/>
        <w:jc w:val="both"/>
        <w:rPr>
          <w:rFonts w:eastAsiaTheme="minorEastAsia" w:cstheme="minorBidi"/>
          <w:sz w:val="20"/>
          <w:szCs w:val="20"/>
        </w:rPr>
      </w:pPr>
    </w:p>
    <w:p w:rsidR="00E75442" w:rsidRPr="00C86443" w:rsidRDefault="00E75442" w:rsidP="00545875">
      <w:pPr>
        <w:pStyle w:val="a4"/>
        <w:jc w:val="both"/>
        <w:rPr>
          <w:rFonts w:eastAsiaTheme="minorEastAsia" w:cstheme="minorBidi"/>
          <w:sz w:val="20"/>
          <w:szCs w:val="20"/>
        </w:rPr>
      </w:pPr>
    </w:p>
    <w:p w:rsidR="00E75442" w:rsidRPr="00C86443" w:rsidRDefault="00E75442" w:rsidP="00545875">
      <w:pPr>
        <w:pStyle w:val="a4"/>
        <w:jc w:val="both"/>
        <w:rPr>
          <w:rFonts w:eastAsiaTheme="minorEastAsia" w:cstheme="minorBidi"/>
          <w:sz w:val="20"/>
          <w:szCs w:val="20"/>
        </w:rPr>
      </w:pPr>
    </w:p>
    <w:p w:rsidR="00E75442" w:rsidRPr="00C86443" w:rsidRDefault="00E75442" w:rsidP="00545875">
      <w:pPr>
        <w:pStyle w:val="a4"/>
        <w:jc w:val="both"/>
        <w:rPr>
          <w:rFonts w:eastAsiaTheme="minorEastAsia" w:cstheme="minorBidi"/>
          <w:sz w:val="20"/>
          <w:szCs w:val="20"/>
        </w:rPr>
      </w:pPr>
    </w:p>
    <w:p w:rsidR="00E75442" w:rsidRPr="00C86443" w:rsidRDefault="00E75442" w:rsidP="00545875">
      <w:pPr>
        <w:pStyle w:val="a4"/>
        <w:jc w:val="both"/>
        <w:rPr>
          <w:rFonts w:eastAsiaTheme="minorEastAsia" w:cstheme="minorBidi"/>
          <w:sz w:val="20"/>
          <w:szCs w:val="20"/>
        </w:rPr>
      </w:pPr>
    </w:p>
    <w:p w:rsidR="00E75442" w:rsidRPr="00C86443" w:rsidRDefault="00E75442" w:rsidP="00545875">
      <w:pPr>
        <w:pStyle w:val="a4"/>
        <w:jc w:val="both"/>
        <w:rPr>
          <w:rFonts w:eastAsiaTheme="minorEastAsia" w:cstheme="minorBidi"/>
          <w:sz w:val="20"/>
          <w:szCs w:val="20"/>
        </w:rPr>
      </w:pPr>
    </w:p>
    <w:p w:rsidR="00E75442" w:rsidRPr="00C86443" w:rsidRDefault="00E75442" w:rsidP="00545875">
      <w:pPr>
        <w:pStyle w:val="a4"/>
        <w:jc w:val="both"/>
        <w:rPr>
          <w:rFonts w:eastAsiaTheme="minorEastAsia" w:cstheme="minorBidi"/>
          <w:sz w:val="20"/>
          <w:szCs w:val="20"/>
        </w:rPr>
      </w:pPr>
    </w:p>
    <w:p w:rsidR="00E75442" w:rsidRPr="00C86443" w:rsidRDefault="00E75442" w:rsidP="00545875">
      <w:pPr>
        <w:pStyle w:val="a4"/>
        <w:jc w:val="both"/>
        <w:rPr>
          <w:rFonts w:eastAsiaTheme="minorEastAsia" w:cstheme="minorBidi"/>
          <w:sz w:val="20"/>
          <w:szCs w:val="20"/>
        </w:rPr>
      </w:pPr>
    </w:p>
    <w:p w:rsidR="00E75442" w:rsidRPr="00C86443" w:rsidRDefault="00E75442" w:rsidP="00545875">
      <w:pPr>
        <w:pStyle w:val="a4"/>
        <w:jc w:val="both"/>
        <w:rPr>
          <w:rFonts w:eastAsiaTheme="minorEastAsia" w:cstheme="minorBidi"/>
          <w:sz w:val="20"/>
          <w:szCs w:val="20"/>
        </w:rPr>
      </w:pPr>
    </w:p>
    <w:p w:rsidR="00C86443" w:rsidRPr="00C86443" w:rsidRDefault="00C86443" w:rsidP="00545875">
      <w:pPr>
        <w:pStyle w:val="a4"/>
        <w:jc w:val="both"/>
        <w:rPr>
          <w:rFonts w:eastAsiaTheme="minorEastAsia" w:cstheme="minorBidi"/>
          <w:sz w:val="20"/>
          <w:szCs w:val="20"/>
        </w:rPr>
      </w:pPr>
    </w:p>
    <w:p w:rsidR="00C86443" w:rsidRPr="00C86443" w:rsidRDefault="00C86443" w:rsidP="00545875">
      <w:pPr>
        <w:pStyle w:val="a4"/>
        <w:jc w:val="both"/>
        <w:rPr>
          <w:rFonts w:eastAsiaTheme="minorEastAsia" w:cstheme="minorBidi"/>
          <w:sz w:val="20"/>
          <w:szCs w:val="20"/>
        </w:rPr>
      </w:pPr>
    </w:p>
    <w:p w:rsidR="00C86443" w:rsidRPr="00C86443" w:rsidRDefault="00C86443" w:rsidP="00545875">
      <w:pPr>
        <w:pStyle w:val="a4"/>
        <w:jc w:val="both"/>
        <w:rPr>
          <w:rFonts w:eastAsiaTheme="minorEastAsia" w:cstheme="minorBidi"/>
          <w:sz w:val="20"/>
          <w:szCs w:val="20"/>
        </w:rPr>
      </w:pPr>
    </w:p>
    <w:p w:rsidR="00C86443" w:rsidRPr="00C86443" w:rsidRDefault="00C86443" w:rsidP="00545875">
      <w:pPr>
        <w:pStyle w:val="a4"/>
        <w:jc w:val="both"/>
        <w:rPr>
          <w:rFonts w:eastAsiaTheme="minorEastAsia" w:cstheme="minorBidi"/>
          <w:sz w:val="20"/>
          <w:szCs w:val="20"/>
        </w:rPr>
      </w:pPr>
    </w:p>
    <w:p w:rsidR="00C86443" w:rsidRPr="00C86443" w:rsidRDefault="00C86443" w:rsidP="00545875">
      <w:pPr>
        <w:pStyle w:val="a4"/>
        <w:jc w:val="both"/>
        <w:rPr>
          <w:rFonts w:eastAsiaTheme="minorEastAsia" w:cstheme="minorBidi"/>
          <w:sz w:val="20"/>
          <w:szCs w:val="20"/>
        </w:rPr>
      </w:pPr>
    </w:p>
    <w:p w:rsidR="00E75442" w:rsidRPr="00C86443" w:rsidRDefault="00E75442" w:rsidP="00545875">
      <w:pPr>
        <w:pStyle w:val="a4"/>
        <w:jc w:val="both"/>
        <w:rPr>
          <w:rFonts w:eastAsiaTheme="minorEastAsia" w:cstheme="minorBidi"/>
          <w:sz w:val="20"/>
          <w:szCs w:val="20"/>
        </w:rPr>
      </w:pPr>
    </w:p>
    <w:p w:rsidR="00E75442" w:rsidRPr="00C86443" w:rsidRDefault="00E75442" w:rsidP="00545875">
      <w:pPr>
        <w:pStyle w:val="a4"/>
        <w:jc w:val="both"/>
        <w:rPr>
          <w:rFonts w:eastAsiaTheme="minorEastAsia" w:cstheme="minorBidi"/>
          <w:sz w:val="20"/>
          <w:szCs w:val="20"/>
        </w:rPr>
      </w:pPr>
    </w:p>
    <w:p w:rsidR="00E75442" w:rsidRPr="00C86443" w:rsidRDefault="00E75442" w:rsidP="00545875">
      <w:pPr>
        <w:pStyle w:val="a4"/>
        <w:jc w:val="both"/>
        <w:rPr>
          <w:rFonts w:eastAsiaTheme="minorEastAsia" w:cstheme="minorBidi"/>
          <w:sz w:val="20"/>
          <w:szCs w:val="20"/>
        </w:rPr>
      </w:pPr>
    </w:p>
    <w:p w:rsidR="00E75442" w:rsidRPr="00C86443" w:rsidRDefault="00E75442" w:rsidP="00545875">
      <w:pPr>
        <w:pStyle w:val="a4"/>
        <w:jc w:val="both"/>
        <w:rPr>
          <w:rFonts w:eastAsiaTheme="minorEastAsia" w:cstheme="minorBidi"/>
          <w:sz w:val="20"/>
          <w:szCs w:val="20"/>
        </w:rPr>
      </w:pPr>
    </w:p>
    <w:sectPr w:rsidR="00E75442" w:rsidRPr="00C86443" w:rsidSect="001277AC">
      <w:footerReference w:type="default" r:id="rId10"/>
      <w:pgSz w:w="11906" w:h="16838"/>
      <w:pgMar w:top="38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00B" w:rsidRDefault="00FB400B" w:rsidP="00B8460A">
      <w:pPr>
        <w:spacing w:after="0" w:line="240" w:lineRule="auto"/>
      </w:pPr>
      <w:r>
        <w:separator/>
      </w:r>
    </w:p>
  </w:endnote>
  <w:endnote w:type="continuationSeparator" w:id="0">
    <w:p w:rsidR="00FB400B" w:rsidRDefault="00FB400B" w:rsidP="00B84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937594"/>
      <w:docPartObj>
        <w:docPartGallery w:val="Page Numbers (Bottom of Page)"/>
        <w:docPartUnique/>
      </w:docPartObj>
    </w:sdtPr>
    <w:sdtContent>
      <w:p w:rsidR="005C21DD" w:rsidRPr="00CA7204" w:rsidRDefault="00105341" w:rsidP="001277AC">
        <w:pPr>
          <w:pStyle w:val="ae"/>
          <w:jc w:val="center"/>
        </w:pPr>
        <w:fldSimple w:instr=" PAGE   \* MERGEFORMAT ">
          <w:r w:rsidR="007C538A">
            <w:rPr>
              <w:noProof/>
            </w:rPr>
            <w:t>30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00B" w:rsidRDefault="00FB400B" w:rsidP="00B8460A">
      <w:pPr>
        <w:spacing w:after="0" w:line="240" w:lineRule="auto"/>
      </w:pPr>
      <w:r>
        <w:separator/>
      </w:r>
    </w:p>
  </w:footnote>
  <w:footnote w:type="continuationSeparator" w:id="0">
    <w:p w:rsidR="00FB400B" w:rsidRDefault="00FB400B" w:rsidP="00B84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C99"/>
    <w:multiLevelType w:val="hybridMultilevel"/>
    <w:tmpl w:val="0C289BE8"/>
    <w:lvl w:ilvl="0" w:tplc="AD040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705FA"/>
    <w:multiLevelType w:val="hybridMultilevel"/>
    <w:tmpl w:val="EB50186C"/>
    <w:lvl w:ilvl="0" w:tplc="5B5099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4836F9"/>
    <w:multiLevelType w:val="hybridMultilevel"/>
    <w:tmpl w:val="3840828C"/>
    <w:lvl w:ilvl="0" w:tplc="AD040C3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F49260A"/>
    <w:multiLevelType w:val="hybridMultilevel"/>
    <w:tmpl w:val="F98E3D80"/>
    <w:lvl w:ilvl="0" w:tplc="AD040C3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7293272"/>
    <w:multiLevelType w:val="hybridMultilevel"/>
    <w:tmpl w:val="EC6233A8"/>
    <w:lvl w:ilvl="0" w:tplc="5B5099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2504F8"/>
    <w:multiLevelType w:val="hybridMultilevel"/>
    <w:tmpl w:val="7E20F15A"/>
    <w:lvl w:ilvl="0" w:tplc="5B5099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6A6FE7"/>
    <w:multiLevelType w:val="hybridMultilevel"/>
    <w:tmpl w:val="7D80F5AE"/>
    <w:lvl w:ilvl="0" w:tplc="5B509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B386F"/>
    <w:multiLevelType w:val="hybridMultilevel"/>
    <w:tmpl w:val="94064674"/>
    <w:lvl w:ilvl="0" w:tplc="5B5099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F97338"/>
    <w:multiLevelType w:val="hybridMultilevel"/>
    <w:tmpl w:val="DEDEAEA8"/>
    <w:lvl w:ilvl="0" w:tplc="5B5099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C94EF9"/>
    <w:multiLevelType w:val="hybridMultilevel"/>
    <w:tmpl w:val="E32A5F1E"/>
    <w:lvl w:ilvl="0" w:tplc="5B509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A3F1F"/>
    <w:multiLevelType w:val="hybridMultilevel"/>
    <w:tmpl w:val="A948E024"/>
    <w:lvl w:ilvl="0" w:tplc="5B509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105F53"/>
    <w:multiLevelType w:val="hybridMultilevel"/>
    <w:tmpl w:val="89121E5E"/>
    <w:lvl w:ilvl="0" w:tplc="5A144EC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361162FB"/>
    <w:multiLevelType w:val="hybridMultilevel"/>
    <w:tmpl w:val="E920263A"/>
    <w:lvl w:ilvl="0" w:tplc="AD040C3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37127484"/>
    <w:multiLevelType w:val="hybridMultilevel"/>
    <w:tmpl w:val="7CCE829E"/>
    <w:lvl w:ilvl="0" w:tplc="AD040C3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37E578C1"/>
    <w:multiLevelType w:val="hybridMultilevel"/>
    <w:tmpl w:val="CFD26406"/>
    <w:lvl w:ilvl="0" w:tplc="5B5099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99F4AEB"/>
    <w:multiLevelType w:val="hybridMultilevel"/>
    <w:tmpl w:val="96083FC8"/>
    <w:lvl w:ilvl="0" w:tplc="5B509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091AB9"/>
    <w:multiLevelType w:val="hybridMultilevel"/>
    <w:tmpl w:val="C8DE9306"/>
    <w:lvl w:ilvl="0" w:tplc="5B5099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5FE64E6"/>
    <w:multiLevelType w:val="hybridMultilevel"/>
    <w:tmpl w:val="3516ECFE"/>
    <w:lvl w:ilvl="0" w:tplc="5A144EC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60D1272"/>
    <w:multiLevelType w:val="hybridMultilevel"/>
    <w:tmpl w:val="96D0434C"/>
    <w:lvl w:ilvl="0" w:tplc="5B509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EF3F51"/>
    <w:multiLevelType w:val="hybridMultilevel"/>
    <w:tmpl w:val="ECB67FCA"/>
    <w:lvl w:ilvl="0" w:tplc="5B509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B0531B"/>
    <w:multiLevelType w:val="hybridMultilevel"/>
    <w:tmpl w:val="D2F6D8CE"/>
    <w:lvl w:ilvl="0" w:tplc="5B5099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E064789"/>
    <w:multiLevelType w:val="hybridMultilevel"/>
    <w:tmpl w:val="15361BB6"/>
    <w:lvl w:ilvl="0" w:tplc="5B509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E246BF"/>
    <w:multiLevelType w:val="hybridMultilevel"/>
    <w:tmpl w:val="9210152C"/>
    <w:lvl w:ilvl="0" w:tplc="5B509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AF1495"/>
    <w:multiLevelType w:val="hybridMultilevel"/>
    <w:tmpl w:val="8836137A"/>
    <w:lvl w:ilvl="0" w:tplc="5B5099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98E3E17"/>
    <w:multiLevelType w:val="hybridMultilevel"/>
    <w:tmpl w:val="8730B174"/>
    <w:lvl w:ilvl="0" w:tplc="5B5099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A55137A"/>
    <w:multiLevelType w:val="hybridMultilevel"/>
    <w:tmpl w:val="C6E28836"/>
    <w:lvl w:ilvl="0" w:tplc="73064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DB14AF"/>
    <w:multiLevelType w:val="hybridMultilevel"/>
    <w:tmpl w:val="6832D0B4"/>
    <w:lvl w:ilvl="0" w:tplc="5B509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091629"/>
    <w:multiLevelType w:val="hybridMultilevel"/>
    <w:tmpl w:val="C21A03E2"/>
    <w:lvl w:ilvl="0" w:tplc="AD040C3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>
    <w:nsid w:val="71883708"/>
    <w:multiLevelType w:val="hybridMultilevel"/>
    <w:tmpl w:val="7C149172"/>
    <w:lvl w:ilvl="0" w:tplc="8A5A1D26">
      <w:start w:val="1"/>
      <w:numFmt w:val="decimal"/>
      <w:lvlText w:val="%1."/>
      <w:lvlJc w:val="left"/>
      <w:pPr>
        <w:ind w:left="75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>
    <w:nsid w:val="72C83F50"/>
    <w:multiLevelType w:val="hybridMultilevel"/>
    <w:tmpl w:val="CFB4CF34"/>
    <w:lvl w:ilvl="0" w:tplc="AD040C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6196760"/>
    <w:multiLevelType w:val="hybridMultilevel"/>
    <w:tmpl w:val="5C34B502"/>
    <w:lvl w:ilvl="0" w:tplc="5B5099E0">
      <w:start w:val="1"/>
      <w:numFmt w:val="bullet"/>
      <w:lvlText w:val="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1">
    <w:nsid w:val="778E46DA"/>
    <w:multiLevelType w:val="hybridMultilevel"/>
    <w:tmpl w:val="C29C829E"/>
    <w:lvl w:ilvl="0" w:tplc="5B509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0A5D79"/>
    <w:multiLevelType w:val="hybridMultilevel"/>
    <w:tmpl w:val="688A0A86"/>
    <w:lvl w:ilvl="0" w:tplc="5B5099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8B168E1"/>
    <w:multiLevelType w:val="hybridMultilevel"/>
    <w:tmpl w:val="88C2EE7A"/>
    <w:lvl w:ilvl="0" w:tplc="5B5099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B316175"/>
    <w:multiLevelType w:val="hybridMultilevel"/>
    <w:tmpl w:val="3536D772"/>
    <w:lvl w:ilvl="0" w:tplc="AD040C3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5">
    <w:nsid w:val="7BDE41F8"/>
    <w:multiLevelType w:val="hybridMultilevel"/>
    <w:tmpl w:val="F002FB04"/>
    <w:lvl w:ilvl="0" w:tplc="5B509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EF0772"/>
    <w:multiLevelType w:val="hybridMultilevel"/>
    <w:tmpl w:val="8612E632"/>
    <w:lvl w:ilvl="0" w:tplc="5B509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6B1B1D"/>
    <w:multiLevelType w:val="hybridMultilevel"/>
    <w:tmpl w:val="98CE8396"/>
    <w:lvl w:ilvl="0" w:tplc="5B509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4"/>
  </w:num>
  <w:num w:numId="3">
    <w:abstractNumId w:val="3"/>
  </w:num>
  <w:num w:numId="4">
    <w:abstractNumId w:val="2"/>
  </w:num>
  <w:num w:numId="5">
    <w:abstractNumId w:val="17"/>
  </w:num>
  <w:num w:numId="6">
    <w:abstractNumId w:val="0"/>
  </w:num>
  <w:num w:numId="7">
    <w:abstractNumId w:val="11"/>
  </w:num>
  <w:num w:numId="8">
    <w:abstractNumId w:val="13"/>
  </w:num>
  <w:num w:numId="9">
    <w:abstractNumId w:val="18"/>
  </w:num>
  <w:num w:numId="10">
    <w:abstractNumId w:val="30"/>
  </w:num>
  <w:num w:numId="11">
    <w:abstractNumId w:val="22"/>
  </w:num>
  <w:num w:numId="12">
    <w:abstractNumId w:val="36"/>
  </w:num>
  <w:num w:numId="13">
    <w:abstractNumId w:val="26"/>
  </w:num>
  <w:num w:numId="14">
    <w:abstractNumId w:val="19"/>
  </w:num>
  <w:num w:numId="15">
    <w:abstractNumId w:val="37"/>
  </w:num>
  <w:num w:numId="16">
    <w:abstractNumId w:val="6"/>
  </w:num>
  <w:num w:numId="17">
    <w:abstractNumId w:val="27"/>
  </w:num>
  <w:num w:numId="18">
    <w:abstractNumId w:val="12"/>
  </w:num>
  <w:num w:numId="19">
    <w:abstractNumId w:val="10"/>
  </w:num>
  <w:num w:numId="20">
    <w:abstractNumId w:val="20"/>
  </w:num>
  <w:num w:numId="21">
    <w:abstractNumId w:val="1"/>
  </w:num>
  <w:num w:numId="22">
    <w:abstractNumId w:val="32"/>
  </w:num>
  <w:num w:numId="23">
    <w:abstractNumId w:val="9"/>
  </w:num>
  <w:num w:numId="24">
    <w:abstractNumId w:val="15"/>
  </w:num>
  <w:num w:numId="25">
    <w:abstractNumId w:val="33"/>
  </w:num>
  <w:num w:numId="26">
    <w:abstractNumId w:val="35"/>
  </w:num>
  <w:num w:numId="27">
    <w:abstractNumId w:val="7"/>
  </w:num>
  <w:num w:numId="28">
    <w:abstractNumId w:val="31"/>
  </w:num>
  <w:num w:numId="29">
    <w:abstractNumId w:val="16"/>
  </w:num>
  <w:num w:numId="30">
    <w:abstractNumId w:val="21"/>
  </w:num>
  <w:num w:numId="31">
    <w:abstractNumId w:val="23"/>
  </w:num>
  <w:num w:numId="32">
    <w:abstractNumId w:val="5"/>
  </w:num>
  <w:num w:numId="33">
    <w:abstractNumId w:val="14"/>
  </w:num>
  <w:num w:numId="34">
    <w:abstractNumId w:val="24"/>
  </w:num>
  <w:num w:numId="35">
    <w:abstractNumId w:val="8"/>
  </w:num>
  <w:num w:numId="36">
    <w:abstractNumId w:val="4"/>
  </w:num>
  <w:num w:numId="37">
    <w:abstractNumId w:val="25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271BC"/>
    <w:rsid w:val="00000E4E"/>
    <w:rsid w:val="00001E07"/>
    <w:rsid w:val="000036EC"/>
    <w:rsid w:val="000067E2"/>
    <w:rsid w:val="000125E2"/>
    <w:rsid w:val="00015381"/>
    <w:rsid w:val="00015DE6"/>
    <w:rsid w:val="000233AF"/>
    <w:rsid w:val="00035220"/>
    <w:rsid w:val="00052257"/>
    <w:rsid w:val="00052A87"/>
    <w:rsid w:val="00052EF0"/>
    <w:rsid w:val="000658B9"/>
    <w:rsid w:val="00070304"/>
    <w:rsid w:val="000719A0"/>
    <w:rsid w:val="00073735"/>
    <w:rsid w:val="00073C76"/>
    <w:rsid w:val="0008626A"/>
    <w:rsid w:val="00095DC6"/>
    <w:rsid w:val="0009690B"/>
    <w:rsid w:val="000A7707"/>
    <w:rsid w:val="000B11B3"/>
    <w:rsid w:val="000B200C"/>
    <w:rsid w:val="000B27AC"/>
    <w:rsid w:val="000B77EC"/>
    <w:rsid w:val="000D13D1"/>
    <w:rsid w:val="000D1D0C"/>
    <w:rsid w:val="000D2382"/>
    <w:rsid w:val="000E0BB9"/>
    <w:rsid w:val="000E6575"/>
    <w:rsid w:val="000E67FA"/>
    <w:rsid w:val="000E7082"/>
    <w:rsid w:val="00103956"/>
    <w:rsid w:val="00105341"/>
    <w:rsid w:val="00110A48"/>
    <w:rsid w:val="0011110F"/>
    <w:rsid w:val="00113370"/>
    <w:rsid w:val="00114F41"/>
    <w:rsid w:val="0012776F"/>
    <w:rsid w:val="001277AC"/>
    <w:rsid w:val="0013136F"/>
    <w:rsid w:val="00133961"/>
    <w:rsid w:val="00141043"/>
    <w:rsid w:val="00141076"/>
    <w:rsid w:val="00147027"/>
    <w:rsid w:val="001475EB"/>
    <w:rsid w:val="00154F77"/>
    <w:rsid w:val="00167204"/>
    <w:rsid w:val="00171E78"/>
    <w:rsid w:val="00171FEC"/>
    <w:rsid w:val="00172548"/>
    <w:rsid w:val="001914ED"/>
    <w:rsid w:val="00195EDD"/>
    <w:rsid w:val="0019678E"/>
    <w:rsid w:val="00197B5E"/>
    <w:rsid w:val="001A2A30"/>
    <w:rsid w:val="001B7505"/>
    <w:rsid w:val="001C03E0"/>
    <w:rsid w:val="001C1CA0"/>
    <w:rsid w:val="001D0489"/>
    <w:rsid w:val="001D3707"/>
    <w:rsid w:val="001D7697"/>
    <w:rsid w:val="001E1426"/>
    <w:rsid w:val="001E5893"/>
    <w:rsid w:val="001F04E3"/>
    <w:rsid w:val="001F2E64"/>
    <w:rsid w:val="001F3174"/>
    <w:rsid w:val="002101F1"/>
    <w:rsid w:val="00210F0F"/>
    <w:rsid w:val="0021181A"/>
    <w:rsid w:val="00212985"/>
    <w:rsid w:val="002143C7"/>
    <w:rsid w:val="0021507D"/>
    <w:rsid w:val="00220869"/>
    <w:rsid w:val="00221B54"/>
    <w:rsid w:val="002277DE"/>
    <w:rsid w:val="002334AD"/>
    <w:rsid w:val="00236C04"/>
    <w:rsid w:val="0024040F"/>
    <w:rsid w:val="00242CCC"/>
    <w:rsid w:val="00254175"/>
    <w:rsid w:val="00256556"/>
    <w:rsid w:val="00260D23"/>
    <w:rsid w:val="0026316E"/>
    <w:rsid w:val="00264334"/>
    <w:rsid w:val="00264887"/>
    <w:rsid w:val="00265A53"/>
    <w:rsid w:val="00271319"/>
    <w:rsid w:val="00274A94"/>
    <w:rsid w:val="0027652F"/>
    <w:rsid w:val="002818A6"/>
    <w:rsid w:val="00290DD4"/>
    <w:rsid w:val="00295F5F"/>
    <w:rsid w:val="002A43C9"/>
    <w:rsid w:val="002A609A"/>
    <w:rsid w:val="002A65CF"/>
    <w:rsid w:val="002A7098"/>
    <w:rsid w:val="002B605C"/>
    <w:rsid w:val="002B6D87"/>
    <w:rsid w:val="002C49B9"/>
    <w:rsid w:val="002C7BDA"/>
    <w:rsid w:val="002D4A24"/>
    <w:rsid w:val="002D5CEC"/>
    <w:rsid w:val="002D6793"/>
    <w:rsid w:val="002E280A"/>
    <w:rsid w:val="002E3C14"/>
    <w:rsid w:val="002E4787"/>
    <w:rsid w:val="002E4F5D"/>
    <w:rsid w:val="002E7115"/>
    <w:rsid w:val="00301C76"/>
    <w:rsid w:val="00302077"/>
    <w:rsid w:val="00302CCC"/>
    <w:rsid w:val="0031035B"/>
    <w:rsid w:val="003124E9"/>
    <w:rsid w:val="003159D7"/>
    <w:rsid w:val="00315CE3"/>
    <w:rsid w:val="00316C93"/>
    <w:rsid w:val="00317286"/>
    <w:rsid w:val="00321E26"/>
    <w:rsid w:val="00322070"/>
    <w:rsid w:val="00324031"/>
    <w:rsid w:val="003302A9"/>
    <w:rsid w:val="003332A8"/>
    <w:rsid w:val="00341786"/>
    <w:rsid w:val="0034383E"/>
    <w:rsid w:val="00346469"/>
    <w:rsid w:val="00351662"/>
    <w:rsid w:val="00353687"/>
    <w:rsid w:val="00356CA0"/>
    <w:rsid w:val="00362F5D"/>
    <w:rsid w:val="00364423"/>
    <w:rsid w:val="003751E6"/>
    <w:rsid w:val="003752E7"/>
    <w:rsid w:val="00376F71"/>
    <w:rsid w:val="0037707C"/>
    <w:rsid w:val="003777DB"/>
    <w:rsid w:val="003779E7"/>
    <w:rsid w:val="00385076"/>
    <w:rsid w:val="00393E14"/>
    <w:rsid w:val="003A01D3"/>
    <w:rsid w:val="003A37CC"/>
    <w:rsid w:val="003A3F70"/>
    <w:rsid w:val="003A5262"/>
    <w:rsid w:val="003A5460"/>
    <w:rsid w:val="003A7608"/>
    <w:rsid w:val="003A76AA"/>
    <w:rsid w:val="003B3619"/>
    <w:rsid w:val="003B3D65"/>
    <w:rsid w:val="003B430E"/>
    <w:rsid w:val="003B4C9F"/>
    <w:rsid w:val="003B7EDC"/>
    <w:rsid w:val="003C4316"/>
    <w:rsid w:val="003C791A"/>
    <w:rsid w:val="003D0586"/>
    <w:rsid w:val="003D091D"/>
    <w:rsid w:val="003D5364"/>
    <w:rsid w:val="003E3AE6"/>
    <w:rsid w:val="003E461F"/>
    <w:rsid w:val="003E6F0C"/>
    <w:rsid w:val="003F6DCA"/>
    <w:rsid w:val="00405E5D"/>
    <w:rsid w:val="0040756E"/>
    <w:rsid w:val="0041062B"/>
    <w:rsid w:val="004107AD"/>
    <w:rsid w:val="00410F55"/>
    <w:rsid w:val="00411B9E"/>
    <w:rsid w:val="00411E6E"/>
    <w:rsid w:val="004151DD"/>
    <w:rsid w:val="00425C68"/>
    <w:rsid w:val="0042792E"/>
    <w:rsid w:val="00430C35"/>
    <w:rsid w:val="004324CE"/>
    <w:rsid w:val="00445284"/>
    <w:rsid w:val="00446712"/>
    <w:rsid w:val="00456120"/>
    <w:rsid w:val="00460BC8"/>
    <w:rsid w:val="00462857"/>
    <w:rsid w:val="0046358E"/>
    <w:rsid w:val="00471C8B"/>
    <w:rsid w:val="004748B3"/>
    <w:rsid w:val="00486257"/>
    <w:rsid w:val="00490DC9"/>
    <w:rsid w:val="004B608C"/>
    <w:rsid w:val="004D0359"/>
    <w:rsid w:val="004D1317"/>
    <w:rsid w:val="004D2A00"/>
    <w:rsid w:val="004E09EE"/>
    <w:rsid w:val="004E67BD"/>
    <w:rsid w:val="004F114B"/>
    <w:rsid w:val="004F7EC0"/>
    <w:rsid w:val="00501A8E"/>
    <w:rsid w:val="00504BE9"/>
    <w:rsid w:val="00505A99"/>
    <w:rsid w:val="00514E20"/>
    <w:rsid w:val="00516CD7"/>
    <w:rsid w:val="005318AE"/>
    <w:rsid w:val="00532C78"/>
    <w:rsid w:val="005417BE"/>
    <w:rsid w:val="00543E85"/>
    <w:rsid w:val="00545875"/>
    <w:rsid w:val="00546FE6"/>
    <w:rsid w:val="005562EC"/>
    <w:rsid w:val="00557EBA"/>
    <w:rsid w:val="0057474B"/>
    <w:rsid w:val="00583887"/>
    <w:rsid w:val="0059254E"/>
    <w:rsid w:val="005A2082"/>
    <w:rsid w:val="005A46D8"/>
    <w:rsid w:val="005A650C"/>
    <w:rsid w:val="005A6958"/>
    <w:rsid w:val="005A7ACD"/>
    <w:rsid w:val="005B26BC"/>
    <w:rsid w:val="005B4594"/>
    <w:rsid w:val="005C21DD"/>
    <w:rsid w:val="005C754C"/>
    <w:rsid w:val="005D0856"/>
    <w:rsid w:val="005D0CFB"/>
    <w:rsid w:val="005D1845"/>
    <w:rsid w:val="005D1BAF"/>
    <w:rsid w:val="005D5C35"/>
    <w:rsid w:val="005D7046"/>
    <w:rsid w:val="00601C67"/>
    <w:rsid w:val="00602CBA"/>
    <w:rsid w:val="00606B47"/>
    <w:rsid w:val="006073B2"/>
    <w:rsid w:val="00620763"/>
    <w:rsid w:val="006222FF"/>
    <w:rsid w:val="00624426"/>
    <w:rsid w:val="00630412"/>
    <w:rsid w:val="0063196F"/>
    <w:rsid w:val="00634C1C"/>
    <w:rsid w:val="00636DA8"/>
    <w:rsid w:val="006407A6"/>
    <w:rsid w:val="00642D5C"/>
    <w:rsid w:val="00644346"/>
    <w:rsid w:val="006469DB"/>
    <w:rsid w:val="006541AB"/>
    <w:rsid w:val="00655574"/>
    <w:rsid w:val="00655979"/>
    <w:rsid w:val="00655E77"/>
    <w:rsid w:val="00656A40"/>
    <w:rsid w:val="006605CD"/>
    <w:rsid w:val="00670344"/>
    <w:rsid w:val="006809AA"/>
    <w:rsid w:val="00690948"/>
    <w:rsid w:val="00691FF8"/>
    <w:rsid w:val="00693BA9"/>
    <w:rsid w:val="006A0269"/>
    <w:rsid w:val="006B181C"/>
    <w:rsid w:val="006B6910"/>
    <w:rsid w:val="006B706E"/>
    <w:rsid w:val="006C018F"/>
    <w:rsid w:val="006C0FF0"/>
    <w:rsid w:val="006C22C4"/>
    <w:rsid w:val="006C60C6"/>
    <w:rsid w:val="006D4995"/>
    <w:rsid w:val="006E09AB"/>
    <w:rsid w:val="006E1EDE"/>
    <w:rsid w:val="006E2377"/>
    <w:rsid w:val="006E39C6"/>
    <w:rsid w:val="006E46AF"/>
    <w:rsid w:val="006E710A"/>
    <w:rsid w:val="006F0693"/>
    <w:rsid w:val="006F0F5D"/>
    <w:rsid w:val="006F2E95"/>
    <w:rsid w:val="006F7825"/>
    <w:rsid w:val="00704F9C"/>
    <w:rsid w:val="00710009"/>
    <w:rsid w:val="00720057"/>
    <w:rsid w:val="00722A81"/>
    <w:rsid w:val="007238ED"/>
    <w:rsid w:val="00726FC6"/>
    <w:rsid w:val="007276B1"/>
    <w:rsid w:val="00727AFB"/>
    <w:rsid w:val="00727F2D"/>
    <w:rsid w:val="0073139A"/>
    <w:rsid w:val="00731A5D"/>
    <w:rsid w:val="00731B40"/>
    <w:rsid w:val="00733C2B"/>
    <w:rsid w:val="0073523C"/>
    <w:rsid w:val="00735F4D"/>
    <w:rsid w:val="007362BD"/>
    <w:rsid w:val="00737E73"/>
    <w:rsid w:val="00740585"/>
    <w:rsid w:val="007428EA"/>
    <w:rsid w:val="00745826"/>
    <w:rsid w:val="00755CE7"/>
    <w:rsid w:val="00756156"/>
    <w:rsid w:val="00760A04"/>
    <w:rsid w:val="0076391E"/>
    <w:rsid w:val="007721AE"/>
    <w:rsid w:val="00775141"/>
    <w:rsid w:val="0077521D"/>
    <w:rsid w:val="00793504"/>
    <w:rsid w:val="007936AC"/>
    <w:rsid w:val="007A004C"/>
    <w:rsid w:val="007A16DD"/>
    <w:rsid w:val="007A692A"/>
    <w:rsid w:val="007C1194"/>
    <w:rsid w:val="007C538A"/>
    <w:rsid w:val="007C5818"/>
    <w:rsid w:val="007D6E5E"/>
    <w:rsid w:val="007E5F1D"/>
    <w:rsid w:val="007E63BD"/>
    <w:rsid w:val="007F089F"/>
    <w:rsid w:val="0080315E"/>
    <w:rsid w:val="008069C5"/>
    <w:rsid w:val="00807B7E"/>
    <w:rsid w:val="008122F2"/>
    <w:rsid w:val="00813C38"/>
    <w:rsid w:val="0082098B"/>
    <w:rsid w:val="0082270A"/>
    <w:rsid w:val="00825674"/>
    <w:rsid w:val="008271BC"/>
    <w:rsid w:val="00830E2E"/>
    <w:rsid w:val="00841D30"/>
    <w:rsid w:val="00853D62"/>
    <w:rsid w:val="00853F8F"/>
    <w:rsid w:val="00854FD2"/>
    <w:rsid w:val="008562D3"/>
    <w:rsid w:val="00861654"/>
    <w:rsid w:val="00861878"/>
    <w:rsid w:val="00861E9F"/>
    <w:rsid w:val="008626AE"/>
    <w:rsid w:val="00876F6E"/>
    <w:rsid w:val="0088278A"/>
    <w:rsid w:val="008955DA"/>
    <w:rsid w:val="008A3D71"/>
    <w:rsid w:val="008A53A0"/>
    <w:rsid w:val="008D0C5E"/>
    <w:rsid w:val="008D18F1"/>
    <w:rsid w:val="008E0DF5"/>
    <w:rsid w:val="008E3A31"/>
    <w:rsid w:val="008E58A7"/>
    <w:rsid w:val="00904033"/>
    <w:rsid w:val="00904B71"/>
    <w:rsid w:val="00906C58"/>
    <w:rsid w:val="009103C5"/>
    <w:rsid w:val="0091220D"/>
    <w:rsid w:val="009174CF"/>
    <w:rsid w:val="00917F58"/>
    <w:rsid w:val="00922D7E"/>
    <w:rsid w:val="00923835"/>
    <w:rsid w:val="00923B01"/>
    <w:rsid w:val="00927F75"/>
    <w:rsid w:val="00930178"/>
    <w:rsid w:val="00930276"/>
    <w:rsid w:val="009316DB"/>
    <w:rsid w:val="0093235D"/>
    <w:rsid w:val="0093407A"/>
    <w:rsid w:val="00937801"/>
    <w:rsid w:val="00937BFE"/>
    <w:rsid w:val="00940535"/>
    <w:rsid w:val="0094523A"/>
    <w:rsid w:val="00947362"/>
    <w:rsid w:val="009533BC"/>
    <w:rsid w:val="009545AD"/>
    <w:rsid w:val="00954959"/>
    <w:rsid w:val="00964174"/>
    <w:rsid w:val="00966CE0"/>
    <w:rsid w:val="00973A27"/>
    <w:rsid w:val="009759C0"/>
    <w:rsid w:val="00975F02"/>
    <w:rsid w:val="00980614"/>
    <w:rsid w:val="009807E1"/>
    <w:rsid w:val="00981EAE"/>
    <w:rsid w:val="00982F12"/>
    <w:rsid w:val="00983436"/>
    <w:rsid w:val="00992368"/>
    <w:rsid w:val="00992E15"/>
    <w:rsid w:val="00993138"/>
    <w:rsid w:val="009A667F"/>
    <w:rsid w:val="009B1988"/>
    <w:rsid w:val="009B3572"/>
    <w:rsid w:val="009C727F"/>
    <w:rsid w:val="009D2319"/>
    <w:rsid w:val="009E28AF"/>
    <w:rsid w:val="009E310C"/>
    <w:rsid w:val="009E4B1D"/>
    <w:rsid w:val="009F1FA8"/>
    <w:rsid w:val="009F53F2"/>
    <w:rsid w:val="009F61F0"/>
    <w:rsid w:val="00A05914"/>
    <w:rsid w:val="00A13E1E"/>
    <w:rsid w:val="00A1454F"/>
    <w:rsid w:val="00A24814"/>
    <w:rsid w:val="00A26416"/>
    <w:rsid w:val="00A30986"/>
    <w:rsid w:val="00A32D99"/>
    <w:rsid w:val="00A3482A"/>
    <w:rsid w:val="00A349A9"/>
    <w:rsid w:val="00A35B6B"/>
    <w:rsid w:val="00A36F89"/>
    <w:rsid w:val="00A3746D"/>
    <w:rsid w:val="00A442A9"/>
    <w:rsid w:val="00A5242A"/>
    <w:rsid w:val="00A53E92"/>
    <w:rsid w:val="00A56C35"/>
    <w:rsid w:val="00A56CF8"/>
    <w:rsid w:val="00A5768B"/>
    <w:rsid w:val="00A61C15"/>
    <w:rsid w:val="00A7141E"/>
    <w:rsid w:val="00A81EF7"/>
    <w:rsid w:val="00A823D6"/>
    <w:rsid w:val="00A82970"/>
    <w:rsid w:val="00A83366"/>
    <w:rsid w:val="00AA0C9C"/>
    <w:rsid w:val="00AA1751"/>
    <w:rsid w:val="00AA45FA"/>
    <w:rsid w:val="00AA79CA"/>
    <w:rsid w:val="00AB6B92"/>
    <w:rsid w:val="00AC10EE"/>
    <w:rsid w:val="00AC5023"/>
    <w:rsid w:val="00AC7E90"/>
    <w:rsid w:val="00AD0FD2"/>
    <w:rsid w:val="00AE0E16"/>
    <w:rsid w:val="00AE4AFB"/>
    <w:rsid w:val="00AE6A59"/>
    <w:rsid w:val="00AF1AF5"/>
    <w:rsid w:val="00AF54C0"/>
    <w:rsid w:val="00AF6D2E"/>
    <w:rsid w:val="00B0028D"/>
    <w:rsid w:val="00B00B00"/>
    <w:rsid w:val="00B00B96"/>
    <w:rsid w:val="00B0132C"/>
    <w:rsid w:val="00B060A6"/>
    <w:rsid w:val="00B11EBF"/>
    <w:rsid w:val="00B17F34"/>
    <w:rsid w:val="00B200F0"/>
    <w:rsid w:val="00B2480B"/>
    <w:rsid w:val="00B3076F"/>
    <w:rsid w:val="00B308E3"/>
    <w:rsid w:val="00B36554"/>
    <w:rsid w:val="00B44AC6"/>
    <w:rsid w:val="00B549B4"/>
    <w:rsid w:val="00B602A1"/>
    <w:rsid w:val="00B61EDF"/>
    <w:rsid w:val="00B64E3C"/>
    <w:rsid w:val="00B66C6A"/>
    <w:rsid w:val="00B77B6F"/>
    <w:rsid w:val="00B81B6E"/>
    <w:rsid w:val="00B836F9"/>
    <w:rsid w:val="00B8460A"/>
    <w:rsid w:val="00B85CAE"/>
    <w:rsid w:val="00B92E90"/>
    <w:rsid w:val="00B947FB"/>
    <w:rsid w:val="00B97CBE"/>
    <w:rsid w:val="00BA0816"/>
    <w:rsid w:val="00BA125E"/>
    <w:rsid w:val="00BA3AC3"/>
    <w:rsid w:val="00BB19DC"/>
    <w:rsid w:val="00BB7413"/>
    <w:rsid w:val="00BC3731"/>
    <w:rsid w:val="00BC43F3"/>
    <w:rsid w:val="00BC7E30"/>
    <w:rsid w:val="00BD4B1D"/>
    <w:rsid w:val="00BD6DF9"/>
    <w:rsid w:val="00BE337F"/>
    <w:rsid w:val="00BE53AE"/>
    <w:rsid w:val="00BF4076"/>
    <w:rsid w:val="00BF6B4B"/>
    <w:rsid w:val="00BF7378"/>
    <w:rsid w:val="00C0229E"/>
    <w:rsid w:val="00C023D4"/>
    <w:rsid w:val="00C07425"/>
    <w:rsid w:val="00C106BF"/>
    <w:rsid w:val="00C1244B"/>
    <w:rsid w:val="00C24F22"/>
    <w:rsid w:val="00C30D0C"/>
    <w:rsid w:val="00C323A7"/>
    <w:rsid w:val="00C35773"/>
    <w:rsid w:val="00C35E34"/>
    <w:rsid w:val="00C41EB4"/>
    <w:rsid w:val="00C439BA"/>
    <w:rsid w:val="00C45794"/>
    <w:rsid w:val="00C46E3D"/>
    <w:rsid w:val="00C52398"/>
    <w:rsid w:val="00C5257F"/>
    <w:rsid w:val="00C63C17"/>
    <w:rsid w:val="00C65B9F"/>
    <w:rsid w:val="00C66D5A"/>
    <w:rsid w:val="00C7019B"/>
    <w:rsid w:val="00C7131D"/>
    <w:rsid w:val="00C738AD"/>
    <w:rsid w:val="00C73B23"/>
    <w:rsid w:val="00C767B0"/>
    <w:rsid w:val="00C86443"/>
    <w:rsid w:val="00CA1E2B"/>
    <w:rsid w:val="00CA4BA2"/>
    <w:rsid w:val="00CA7204"/>
    <w:rsid w:val="00CC0B87"/>
    <w:rsid w:val="00CC2B2B"/>
    <w:rsid w:val="00CC3B9E"/>
    <w:rsid w:val="00CC7120"/>
    <w:rsid w:val="00CC7B63"/>
    <w:rsid w:val="00CD00BC"/>
    <w:rsid w:val="00CD3A8E"/>
    <w:rsid w:val="00CD6996"/>
    <w:rsid w:val="00CD7FCD"/>
    <w:rsid w:val="00CE27BC"/>
    <w:rsid w:val="00CE2F97"/>
    <w:rsid w:val="00CE3008"/>
    <w:rsid w:val="00CE3507"/>
    <w:rsid w:val="00CF325A"/>
    <w:rsid w:val="00CF7AE0"/>
    <w:rsid w:val="00D02B93"/>
    <w:rsid w:val="00D05AFB"/>
    <w:rsid w:val="00D0681F"/>
    <w:rsid w:val="00D1104B"/>
    <w:rsid w:val="00D37489"/>
    <w:rsid w:val="00D40764"/>
    <w:rsid w:val="00D429ED"/>
    <w:rsid w:val="00D45018"/>
    <w:rsid w:val="00D50E25"/>
    <w:rsid w:val="00D51BC7"/>
    <w:rsid w:val="00D53FC2"/>
    <w:rsid w:val="00D55D0A"/>
    <w:rsid w:val="00D56376"/>
    <w:rsid w:val="00D61FC2"/>
    <w:rsid w:val="00D83C34"/>
    <w:rsid w:val="00D92893"/>
    <w:rsid w:val="00D9488B"/>
    <w:rsid w:val="00DA0247"/>
    <w:rsid w:val="00DA06BA"/>
    <w:rsid w:val="00DA1016"/>
    <w:rsid w:val="00DA5B78"/>
    <w:rsid w:val="00DA7820"/>
    <w:rsid w:val="00DC4114"/>
    <w:rsid w:val="00DD0BE4"/>
    <w:rsid w:val="00DD0FE7"/>
    <w:rsid w:val="00DD1BC5"/>
    <w:rsid w:val="00DD1D8A"/>
    <w:rsid w:val="00DD37BC"/>
    <w:rsid w:val="00DD70BE"/>
    <w:rsid w:val="00DE2495"/>
    <w:rsid w:val="00DE3BDE"/>
    <w:rsid w:val="00DE51A1"/>
    <w:rsid w:val="00DE7685"/>
    <w:rsid w:val="00DF3868"/>
    <w:rsid w:val="00E012EA"/>
    <w:rsid w:val="00E10015"/>
    <w:rsid w:val="00E11269"/>
    <w:rsid w:val="00E11D71"/>
    <w:rsid w:val="00E21B0F"/>
    <w:rsid w:val="00E21B8B"/>
    <w:rsid w:val="00E23EA9"/>
    <w:rsid w:val="00E266B4"/>
    <w:rsid w:val="00E33465"/>
    <w:rsid w:val="00E34058"/>
    <w:rsid w:val="00E34125"/>
    <w:rsid w:val="00E4322F"/>
    <w:rsid w:val="00E52E31"/>
    <w:rsid w:val="00E54964"/>
    <w:rsid w:val="00E61010"/>
    <w:rsid w:val="00E7041B"/>
    <w:rsid w:val="00E712B6"/>
    <w:rsid w:val="00E75442"/>
    <w:rsid w:val="00E77084"/>
    <w:rsid w:val="00E8226E"/>
    <w:rsid w:val="00E834B4"/>
    <w:rsid w:val="00E838E8"/>
    <w:rsid w:val="00EA6708"/>
    <w:rsid w:val="00EB075C"/>
    <w:rsid w:val="00EB0A6E"/>
    <w:rsid w:val="00EB7D17"/>
    <w:rsid w:val="00EC1A3A"/>
    <w:rsid w:val="00EC41E2"/>
    <w:rsid w:val="00EC44E0"/>
    <w:rsid w:val="00ED0538"/>
    <w:rsid w:val="00ED1D7F"/>
    <w:rsid w:val="00ED42F6"/>
    <w:rsid w:val="00ED71DB"/>
    <w:rsid w:val="00EE25A1"/>
    <w:rsid w:val="00EE2B7F"/>
    <w:rsid w:val="00EE3227"/>
    <w:rsid w:val="00EE5F58"/>
    <w:rsid w:val="00EF515D"/>
    <w:rsid w:val="00EF7212"/>
    <w:rsid w:val="00F0520F"/>
    <w:rsid w:val="00F1179B"/>
    <w:rsid w:val="00F1793F"/>
    <w:rsid w:val="00F300ED"/>
    <w:rsid w:val="00F33DDD"/>
    <w:rsid w:val="00F34469"/>
    <w:rsid w:val="00F35D65"/>
    <w:rsid w:val="00F40008"/>
    <w:rsid w:val="00F40EB4"/>
    <w:rsid w:val="00F51369"/>
    <w:rsid w:val="00F52913"/>
    <w:rsid w:val="00F5306A"/>
    <w:rsid w:val="00F55E39"/>
    <w:rsid w:val="00F64AEA"/>
    <w:rsid w:val="00F6523C"/>
    <w:rsid w:val="00F6683F"/>
    <w:rsid w:val="00F738D0"/>
    <w:rsid w:val="00F73F8B"/>
    <w:rsid w:val="00F749C8"/>
    <w:rsid w:val="00F81B5E"/>
    <w:rsid w:val="00F8278F"/>
    <w:rsid w:val="00F8743B"/>
    <w:rsid w:val="00F9325C"/>
    <w:rsid w:val="00F9350F"/>
    <w:rsid w:val="00F93BEB"/>
    <w:rsid w:val="00F97379"/>
    <w:rsid w:val="00FA11B2"/>
    <w:rsid w:val="00FA34AB"/>
    <w:rsid w:val="00FA40F5"/>
    <w:rsid w:val="00FA442F"/>
    <w:rsid w:val="00FA6927"/>
    <w:rsid w:val="00FA7263"/>
    <w:rsid w:val="00FB0509"/>
    <w:rsid w:val="00FB400B"/>
    <w:rsid w:val="00FB77AE"/>
    <w:rsid w:val="00FB7CDF"/>
    <w:rsid w:val="00FC31FF"/>
    <w:rsid w:val="00FC3F49"/>
    <w:rsid w:val="00FC6D84"/>
    <w:rsid w:val="00FC7926"/>
    <w:rsid w:val="00FD3842"/>
    <w:rsid w:val="00FD4B34"/>
    <w:rsid w:val="00FD6917"/>
    <w:rsid w:val="00FD765A"/>
    <w:rsid w:val="00FE18C8"/>
    <w:rsid w:val="00FE2639"/>
    <w:rsid w:val="00FF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54"/>
  </w:style>
  <w:style w:type="paragraph" w:styleId="1">
    <w:name w:val="heading 1"/>
    <w:basedOn w:val="a"/>
    <w:next w:val="a"/>
    <w:link w:val="10"/>
    <w:qFormat/>
    <w:rsid w:val="003A37C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362"/>
    <w:pPr>
      <w:spacing w:after="0" w:line="240" w:lineRule="auto"/>
    </w:pPr>
  </w:style>
  <w:style w:type="paragraph" w:styleId="a4">
    <w:name w:val="Body Text"/>
    <w:basedOn w:val="a"/>
    <w:link w:val="a5"/>
    <w:rsid w:val="003E6F0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3E6F0C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3A37CC"/>
    <w:rPr>
      <w:rFonts w:ascii="Times New Roman" w:eastAsia="Times New Roman" w:hAnsi="Times New Roman" w:cs="Times New Roman"/>
      <w:b/>
      <w:bCs/>
      <w:i/>
      <w:iCs/>
      <w:sz w:val="36"/>
      <w:szCs w:val="24"/>
    </w:rPr>
  </w:style>
  <w:style w:type="paragraph" w:styleId="a6">
    <w:name w:val="List Paragraph"/>
    <w:basedOn w:val="a"/>
    <w:qFormat/>
    <w:rsid w:val="00315CE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Body Text Indent 2"/>
    <w:basedOn w:val="a"/>
    <w:link w:val="20"/>
    <w:rsid w:val="00315CE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15CE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315C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315CE3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rsid w:val="00315C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nhideWhenUsed/>
    <w:rsid w:val="00315CE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15CE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A0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0247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uiPriority w:val="99"/>
    <w:rsid w:val="00B30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western">
    <w:name w:val="western"/>
    <w:basedOn w:val="a"/>
    <w:rsid w:val="00E61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B84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8460A"/>
  </w:style>
  <w:style w:type="paragraph" w:styleId="ae">
    <w:name w:val="footer"/>
    <w:basedOn w:val="a"/>
    <w:link w:val="af"/>
    <w:uiPriority w:val="99"/>
    <w:unhideWhenUsed/>
    <w:rsid w:val="00B84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8460A"/>
  </w:style>
  <w:style w:type="paragraph" w:customStyle="1" w:styleId="11">
    <w:name w:val="Основной текст1"/>
    <w:basedOn w:val="a"/>
    <w:rsid w:val="000B11B3"/>
    <w:pPr>
      <w:widowControl w:val="0"/>
      <w:shd w:val="clear" w:color="auto" w:fill="FFFFFF"/>
      <w:suppressAutoHyphens/>
      <w:adjustRightInd w:val="0"/>
      <w:spacing w:after="0" w:line="480" w:lineRule="exact"/>
      <w:jc w:val="both"/>
      <w:textAlignment w:val="baseline"/>
    </w:pPr>
    <w:rPr>
      <w:rFonts w:ascii="Calibri" w:eastAsia="Calibri" w:hAnsi="Calibri" w:cs="Calibri"/>
      <w:sz w:val="26"/>
      <w:szCs w:val="26"/>
      <w:lang w:eastAsia="ar-SA"/>
    </w:rPr>
  </w:style>
  <w:style w:type="character" w:styleId="af0">
    <w:name w:val="Hyperlink"/>
    <w:basedOn w:val="a0"/>
    <w:uiPriority w:val="99"/>
    <w:semiHidden/>
    <w:unhideWhenUsed/>
    <w:rsid w:val="00ED1D7F"/>
    <w:rPr>
      <w:color w:val="0000FF"/>
      <w:u w:val="single"/>
    </w:rPr>
  </w:style>
  <w:style w:type="paragraph" w:styleId="af1">
    <w:name w:val="Normal (Web)"/>
    <w:basedOn w:val="a"/>
    <w:unhideWhenUsed/>
    <w:rsid w:val="00ED1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FD4B34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D4B34"/>
    <w:rPr>
      <w:rFonts w:ascii="Arial-BoldMT" w:hAnsi="Arial-BoldMT" w:hint="default"/>
      <w:b/>
      <w:bCs/>
      <w:i w:val="0"/>
      <w:iCs w:val="0"/>
      <w:color w:val="002060"/>
      <w:sz w:val="28"/>
      <w:szCs w:val="28"/>
    </w:rPr>
  </w:style>
  <w:style w:type="character" w:customStyle="1" w:styleId="fontstyle31">
    <w:name w:val="fontstyle31"/>
    <w:basedOn w:val="a0"/>
    <w:rsid w:val="00E21B0F"/>
    <w:rPr>
      <w:rFonts w:ascii="Wingdings-Regular" w:hAnsi="Wingdings-Regular" w:hint="default"/>
      <w:b w:val="0"/>
      <w:bCs w:val="0"/>
      <w:i w:val="0"/>
      <w:iCs w:val="0"/>
      <w:color w:val="002060"/>
      <w:sz w:val="28"/>
      <w:szCs w:val="28"/>
    </w:rPr>
  </w:style>
  <w:style w:type="character" w:styleId="af2">
    <w:name w:val="annotation reference"/>
    <w:basedOn w:val="a0"/>
    <w:uiPriority w:val="99"/>
    <w:semiHidden/>
    <w:unhideWhenUsed/>
    <w:rsid w:val="00B61ED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61EDF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61EDF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61ED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61EDF"/>
    <w:rPr>
      <w:b/>
      <w:bCs/>
      <w:sz w:val="20"/>
      <w:szCs w:val="20"/>
    </w:rPr>
  </w:style>
  <w:style w:type="table" w:customStyle="1" w:styleId="12">
    <w:name w:val="Сетка таблицы1"/>
    <w:basedOn w:val="a1"/>
    <w:next w:val="a9"/>
    <w:rsid w:val="007428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27AA85BF462CA5A05905C0CC6A20A58053A3281DB5457BEA1553B0202B625D2036795B7ED1930CA6F5758F9A8110973BEEF8AD2E82F1C507CD8B7E38o8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Y val="180"/>
      <c:perspective val="0"/>
    </c:view3D>
    <c:plotArea>
      <c:layout>
        <c:manualLayout>
          <c:layoutTarget val="inner"/>
          <c:xMode val="edge"/>
          <c:yMode val="edge"/>
          <c:x val="7.8443356455007981E-2"/>
          <c:y val="0.2440927578273703"/>
          <c:w val="0.92050592785033258"/>
          <c:h val="0.5675880666802979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0077">
              <a:solidFill>
                <a:srgbClr val="000000"/>
              </a:solidFill>
              <a:prstDash val="solid"/>
            </a:ln>
          </c:spPr>
          <c:explosion val="47"/>
          <c:dPt>
            <c:idx val="0"/>
            <c:explosion val="18"/>
            <c:extLst xmlns:c16r2="http://schemas.microsoft.com/office/drawing/2015/06/chart">
              <c:ext xmlns:c16="http://schemas.microsoft.com/office/drawing/2014/chart" uri="{C3380CC4-5D6E-409C-BE32-E72D297353CC}">
                <c16:uniqueId val="{00000000-816E-49BA-A3DF-65A8ECD027C6}"/>
              </c:ext>
            </c:extLst>
          </c:dPt>
          <c:dPt>
            <c:idx val="1"/>
            <c:spPr>
              <a:solidFill>
                <a:srgbClr val="00FF00"/>
              </a:solidFill>
              <a:ln w="1007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6E-49BA-A3DF-65A8ECD027C6}"/>
              </c:ext>
            </c:extLst>
          </c:dPt>
          <c:dPt>
            <c:idx val="2"/>
            <c:spPr>
              <a:solidFill>
                <a:srgbClr val="FFFFCC"/>
              </a:solidFill>
              <a:ln w="1007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816E-49BA-A3DF-65A8ECD027C6}"/>
              </c:ext>
            </c:extLst>
          </c:dPt>
          <c:dPt>
            <c:idx val="3"/>
            <c:spPr>
              <a:solidFill>
                <a:srgbClr val="CCFFFF"/>
              </a:solidFill>
              <a:ln w="1007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6E-49BA-A3DF-65A8ECD027C6}"/>
              </c:ext>
            </c:extLst>
          </c:dPt>
          <c:dLbls>
            <c:dLbl>
              <c:idx val="0"/>
              <c:layout>
                <c:manualLayout>
                  <c:x val="8.568851381206169E-2"/>
                  <c:y val="3.7544470692305411E-2"/>
                </c:manualLayout>
              </c:layout>
              <c:tx>
                <c:rich>
                  <a:bodyPr/>
                  <a:lstStyle/>
                  <a:p>
                    <a:pPr>
                      <a:defRPr sz="678" b="1" i="0" u="none" strike="noStrike" baseline="0">
                        <a:solidFill>
                          <a:srgbClr val="000000"/>
                        </a:solidFill>
                        <a:latin typeface="Times New Roman" pitchFamily="18" charset="0"/>
                        <a:ea typeface="Arial Cyr"/>
                        <a:cs typeface="Times New Roman" pitchFamily="18" charset="0"/>
                      </a:defRPr>
                    </a:pPr>
                    <a:r>
                      <a:rPr lang="ru-RU" sz="678">
                        <a:latin typeface="Times New Roman" pitchFamily="18" charset="0"/>
                        <a:cs typeface="Times New Roman" pitchFamily="18" charset="0"/>
                      </a:rPr>
                      <a:t>Д</a:t>
                    </a:r>
                    <a:r>
                      <a:rPr lang="ru-RU"/>
                      <a:t>обыча полезных ископаемых </a:t>
                    </a:r>
                    <a:r>
                      <a:rPr lang="ru-RU" sz="798"/>
                      <a:t>3,4%</a:t>
                    </a:r>
                  </a:p>
                </c:rich>
              </c:tx>
              <c:numFmt formatCode="0%" sourceLinked="0"/>
              <c:spPr>
                <a:noFill/>
                <a:ln w="20154">
                  <a:noFill/>
                </a:ln>
              </c:spPr>
              <c:dLblPos val="bestFit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16E-49BA-A3DF-65A8ECD027C6}"/>
                </c:ext>
              </c:extLst>
            </c:dLbl>
            <c:dLbl>
              <c:idx val="1"/>
              <c:layout>
                <c:manualLayout>
                  <c:x val="-1.0944821446800406E-2"/>
                  <c:y val="-0.13825928649446986"/>
                </c:manualLayout>
              </c:layout>
              <c:tx>
                <c:rich>
                  <a:bodyPr/>
                  <a:lstStyle/>
                  <a:p>
                    <a:pPr>
                      <a:defRPr sz="678" b="1" i="0" u="none" strike="noStrike" baseline="0">
                        <a:solidFill>
                          <a:srgbClr val="000000"/>
                        </a:solidFill>
                        <a:latin typeface="Times New Roman" pitchFamily="18" charset="0"/>
                        <a:ea typeface="Arial Cyr"/>
                        <a:cs typeface="Times New Roman" pitchFamily="18" charset="0"/>
                      </a:defRPr>
                    </a:pPr>
                    <a:r>
                      <a:rPr lang="ru-RU" sz="678">
                        <a:latin typeface="Times New Roman" pitchFamily="18" charset="0"/>
                        <a:cs typeface="Times New Roman" pitchFamily="18" charset="0"/>
                      </a:rPr>
                      <a:t>Обрабатывающие производства </a:t>
                    </a:r>
                    <a:r>
                      <a:rPr lang="ru-RU" sz="798">
                        <a:latin typeface="Times New Roman" pitchFamily="18" charset="0"/>
                        <a:cs typeface="Times New Roman" pitchFamily="18" charset="0"/>
                      </a:rPr>
                      <a:t>84,1%</a:t>
                    </a:r>
                    <a:endParaRPr lang="ru-RU" sz="1000"/>
                  </a:p>
                </c:rich>
              </c:tx>
              <c:numFmt formatCode="0%" sourceLinked="0"/>
              <c:spPr>
                <a:noFill/>
                <a:ln w="20154">
                  <a:noFill/>
                </a:ln>
              </c:spPr>
              <c:dLblPos val="bestFit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16E-49BA-A3DF-65A8ECD027C6}"/>
                </c:ext>
              </c:extLst>
            </c:dLbl>
            <c:dLbl>
              <c:idx val="2"/>
              <c:layout>
                <c:manualLayout>
                  <c:x val="0.11260897361801399"/>
                  <c:y val="-0.12208069074386979"/>
                </c:manualLayout>
              </c:layout>
              <c:tx>
                <c:rich>
                  <a:bodyPr/>
                  <a:lstStyle/>
                  <a:p>
                    <a:pPr>
                      <a:defRPr sz="678" b="1" i="0" u="none" strike="noStrike" baseline="0">
                        <a:solidFill>
                          <a:srgbClr val="000000"/>
                        </a:solidFill>
                        <a:latin typeface="Times New Roman" pitchFamily="18" charset="0"/>
                        <a:ea typeface="Arial Cyr"/>
                        <a:cs typeface="Times New Roman" pitchFamily="18" charset="0"/>
                      </a:defRPr>
                    </a:pPr>
                    <a:r>
                      <a:rPr lang="ru-RU" sz="678" b="1">
                        <a:latin typeface="Times New Roman" pitchFamily="18" charset="0"/>
                        <a:cs typeface="Times New Roman" pitchFamily="18" charset="0"/>
                      </a:rPr>
                      <a:t>О</a:t>
                    </a:r>
                    <a:r>
                      <a:rPr lang="ru-RU" sz="678" b="1"/>
                      <a:t>беспечение электрической энергией, газом и паром; кондиционирование воздуха, водоснабжение; водоотведение, организация сбора и утилизации отходов, деятельность по ликвидации загрязнений </a:t>
                    </a:r>
                    <a:r>
                      <a:rPr lang="ru-RU" sz="798" b="1"/>
                      <a:t>12,3%</a:t>
                    </a:r>
                    <a:endParaRPr lang="ru-RU" sz="1000"/>
                  </a:p>
                </c:rich>
              </c:tx>
              <c:numFmt formatCode="0%" sourceLinked="0"/>
              <c:spPr>
                <a:noFill/>
                <a:ln w="20154">
                  <a:noFill/>
                </a:ln>
              </c:spPr>
              <c:dLblPos val="bestFit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16E-49BA-A3DF-65A8ECD027C6}"/>
                </c:ext>
              </c:extLst>
            </c:dLbl>
            <c:delete val="1"/>
            <c:spPr>
              <a:noFill/>
              <a:ln>
                <a:noFill/>
              </a:ln>
              <a:effectLst/>
            </c:spPr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3"/>
                <c:pt idx="0">
                  <c:v>Добыча полезных ископаемых</c:v>
                </c:pt>
                <c:pt idx="1">
                  <c:v>Обрабатывающие производства</c:v>
                </c:pt>
                <c:pt idx="2">
                  <c:v>Распределение электроэнергии, газа, пара, водоснабжение и водоотведение, сбор и утилизация отходов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1062</c:v>
                </c:pt>
                <c:pt idx="1">
                  <c:v>21416</c:v>
                </c:pt>
                <c:pt idx="2">
                  <c:v>3034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16E-49BA-A3DF-65A8ECD027C6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0077">
              <a:solidFill>
                <a:srgbClr val="000000"/>
              </a:solidFill>
              <a:prstDash val="solid"/>
            </a:ln>
          </c:spPr>
          <c:explosion val="47"/>
          <c:dPt>
            <c:idx val="0"/>
            <c:spPr>
              <a:solidFill>
                <a:srgbClr val="9999FF"/>
              </a:solidFill>
              <a:ln w="1007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6E-49BA-A3DF-65A8ECD027C6}"/>
              </c:ext>
            </c:extLst>
          </c:dPt>
          <c:dPt>
            <c:idx val="2"/>
            <c:spPr>
              <a:solidFill>
                <a:srgbClr val="FFFFCC"/>
              </a:solidFill>
              <a:ln w="1007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6E-49BA-A3DF-65A8ECD027C6}"/>
              </c:ext>
            </c:extLst>
          </c:dPt>
          <c:dPt>
            <c:idx val="3"/>
            <c:spPr>
              <a:solidFill>
                <a:srgbClr val="CCFFFF"/>
              </a:solidFill>
              <a:ln w="1007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816E-49BA-A3DF-65A8ECD027C6}"/>
              </c:ext>
            </c:extLst>
          </c:dPt>
          <c:cat>
            <c:strRef>
              <c:f>Sheet1!$B$1:$E$1</c:f>
              <c:strCache>
                <c:ptCount val="3"/>
                <c:pt idx="0">
                  <c:v>Добыча полезных ископаемых</c:v>
                </c:pt>
                <c:pt idx="1">
                  <c:v>Обрабатывающие производства</c:v>
                </c:pt>
                <c:pt idx="2">
                  <c:v>Распределение электроэнергии, газа, пара, водоснабжение и водоотведение, сбор и утилизация отходов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816E-49BA-A3DF-65A8ECD027C6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0077">
              <a:solidFill>
                <a:srgbClr val="000000"/>
              </a:solidFill>
              <a:prstDash val="solid"/>
            </a:ln>
          </c:spPr>
          <c:explosion val="47"/>
          <c:dPt>
            <c:idx val="0"/>
            <c:spPr>
              <a:solidFill>
                <a:srgbClr val="9999FF"/>
              </a:solidFill>
              <a:ln w="1007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816E-49BA-A3DF-65A8ECD027C6}"/>
              </c:ext>
            </c:extLst>
          </c:dPt>
          <c:dPt>
            <c:idx val="1"/>
            <c:spPr>
              <a:solidFill>
                <a:srgbClr val="993366"/>
              </a:solidFill>
              <a:ln w="1007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816E-49BA-A3DF-65A8ECD027C6}"/>
              </c:ext>
            </c:extLst>
          </c:dPt>
          <c:dPt>
            <c:idx val="3"/>
            <c:spPr>
              <a:solidFill>
                <a:srgbClr val="CCFFFF"/>
              </a:solidFill>
              <a:ln w="1007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816E-49BA-A3DF-65A8ECD027C6}"/>
              </c:ext>
            </c:extLst>
          </c:dPt>
          <c:cat>
            <c:strRef>
              <c:f>Sheet1!$B$1:$E$1</c:f>
              <c:strCache>
                <c:ptCount val="3"/>
                <c:pt idx="0">
                  <c:v>Добыча полезных ископаемых</c:v>
                </c:pt>
                <c:pt idx="1">
                  <c:v>Обрабатывающие производства</c:v>
                </c:pt>
                <c:pt idx="2">
                  <c:v>Распределение электроэнергии, газа, пара, водоснабжение и водоотведение, сбор и утилизация отходов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816E-49BA-A3DF-65A8ECD027C6}"/>
            </c:ext>
          </c:extLst>
        </c:ser>
      </c:pie3DChart>
      <c:spPr>
        <a:solidFill>
          <a:srgbClr val="FFFFFF"/>
        </a:solidFill>
        <a:ln w="20154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138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10981-27C4-4D38-BF0D-533E2D34A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31</Pages>
  <Words>15808</Words>
  <Characters>90106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Валеева</cp:lastModifiedBy>
  <cp:revision>41</cp:revision>
  <cp:lastPrinted>2023-12-19T14:25:00Z</cp:lastPrinted>
  <dcterms:created xsi:type="dcterms:W3CDTF">2023-06-24T07:10:00Z</dcterms:created>
  <dcterms:modified xsi:type="dcterms:W3CDTF">2023-12-21T12:12:00Z</dcterms:modified>
</cp:coreProperties>
</file>